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4D_37/2026 vom 26. März 2026</w:t>
      </w:r>
    </w:p>
    <w:p>
      <w:r>
        <w:t>Bundesgericht, 2026-03-26, DE</w:t>
      </w:r>
    </w:p>
    <w:p>
      <w:r>
        <w:rPr>
          <w:b/>
        </w:rPr>
        <w:t xml:space="preserve">Quelle: </w:t>
      </w:r>
      <w:r>
        <w:t>https://mcp.opencaselaw.ch/entscheid/bger_4D_37_2026</w:t>
      </w:r>
    </w:p>
    <w:p>
      <w:r>
        <w:t>FR: TF 4D_37/2026 du 26 mars 2026</w:t>
      </w:r>
    </w:p>
    <w:p>
      <w:r>
        <w:t>IT: TF 4D_37/2026 del 26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6. Februar 2026 wies das Obergericht des Kantons Zürich die Beschwerde der Beschwerdeführerin gegen den Rechtsöffnungsentscheid des Einzelgerichts Audienz am Bezirksgericht Zürich vom 6. Januar 2026 ab.</w:t>
      </w:r>
    </w:p>
    <w:p>
      <w:r>
        <w:t>Dagegen erhob die Beschwerdeführerin am 16. März 2026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</w:t>
      </w:r>
    </w:p>
    <w:p>
      <w:r>
        <w:t>Die Beschwerdegegnerin hat keinen Anspruch auf eine Parteientschädigung, da ihr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