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4D_35/2025 vom 2. April 2025</w:t>
      </w:r>
    </w:p>
    <w:p>
      <w:r>
        <w:t>Bundesgericht, 2025-04-02, DE</w:t>
      </w:r>
    </w:p>
    <w:p>
      <w:r>
        <w:rPr>
          <w:b/>
        </w:rPr>
        <w:t xml:space="preserve">Quelle: </w:t>
      </w:r>
      <w:r>
        <w:t>https://mcp.opencaselaw.ch/entscheid/bger_4D_35_2025</w:t>
      </w:r>
    </w:p>
    <w:p>
      <w:r>
        <w:t>FR: TF 4D_35/2025 du 2 avril 2025</w:t>
      </w:r>
    </w:p>
    <w:p>
      <w:r>
        <w:t>IT: TF 4D_35/2025 del 2 aprile 2025</w:t>
      </w:r>
    </w:p>
    <w:p>
      <w:pPr>
        <w:pStyle w:val="Heading2"/>
      </w:pPr>
      <w:r>
        <w:t>Erwägungen</w:t>
      </w:r>
    </w:p>
    <w:p>
      <w:r>
        <w:rPr>
          <w:b/>
        </w:rPr>
        <w:t>E. 1</w:t>
      </w:r>
    </w:p>
    <w:p>
      <w:r>
        <w:t>Mit Urteil vom 27. November 2024 erteilte das Bezirksgericht Dietikon den Beschwerdegegnern in der Betreibung Nr. xxx des Betreibungsamts U.________ (Zahlungsbefehl vom 21. März 2024) definitive Rechtsöffnung für Fr. 2'068.45 nebst 4.5 % Zins seit 20. März 2024, Fr. 10.35 und Fr. 6.55. Gegen dieses Urteil erhob der Beschwerdeführer Beschwerde an das Obergericht des Kantons Zürich und beantragte die unentgeltliche Rechtspflege für das Beschwerdeverfahren. Mit Beschluss und Urteil vom 17. Januar 2025 wies das Obergericht die Beschwerde und das Gesuch um unentgeltliche Rechtspflege ab.</w:t>
      </w:r>
    </w:p>
    <w:p>
      <w:r>
        <w:t>Dagegen erhebt der Beschwerdeführer mit Eingabe vom 20. Februar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2'068.45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zwar, dass sich vorliegend "auch Rechtsfragen von grundsätzlicher Bedeutung" stellten und schildert dazu seine rechtlichen Auffassungen.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Die Eingabe des Beschwerdeführers erfüllt diese Begründungsanforderungen offensichtlich nicht. Er wiederholt darin über weite Strecken seine bereits vorinstanzlich vorgetragene Sicht der Dinge zu den Grundlagen seiner behaupteten Schadenersatzforderung, die er verrechnungsweise gegen die Steuerforderungen der Beschwerdegegner einzuwenden versucht (vgl. dazu bereits Urteil 4A_671/2024 vom 28. Januar 2025 E. 3.2). Er geht indessen auf die Erwägungen der Vorinstanz nicht hinreichend konkret ein, geschweige denn zeigt er nachvollziehbar auf, welche verfassungsmässigen Rechte die Vorinstanz mit ihrem Entscheid inwiefern verletzt haben soll.</w:t>
      </w:r>
    </w:p>
    <w:p>
      <w:r>
        <w:rPr>
          <w:b/>
        </w:rPr>
        <w:t>E. 4.2</w:t>
      </w:r>
    </w:p>
    <w:p>
      <w:r>
        <w:t>Der Beschwerdeführer verlangt eventualiter, die Sache sei zu neuer Beurteilung "an ein anderes Kantonsgericht zurückzuweisen, welches über die erforderliche Unabhängigkeit" verfüge. Soweit er damit die Verletzung der Ausstandsvorschriften durch die kantonalen Vorinstanzen rügen möchte, begründet er diesen Vorwurf nicht, zumindest offensichtlich nicht hinreichend. Im Übrigen legt der Beschwerdeführer auch nicht dar, dass er die betreffenden Richter in Nachachtung von Art. 49 Abs. 1 ZPO bereits im kantonalen Verfahren abgelehnt hätte.</w:t>
      </w:r>
    </w:p>
    <w:p>
      <w:r>
        <w:rPr>
          <w:b/>
        </w:rPr>
        <w:t>E. 4.3</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