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35/2024 vom 26. März 2024</w:t>
      </w:r>
    </w:p>
    <w:p>
      <w:r>
        <w:t>Bundesgericht, 2024-03-26, FR</w:t>
      </w:r>
    </w:p>
    <w:p>
      <w:r>
        <w:rPr>
          <w:b/>
        </w:rPr>
        <w:t xml:space="preserve">Quelle: </w:t>
      </w:r>
      <w:r>
        <w:t>https://mcp.opencaselaw.ch/entscheid/bger_4D_35_2024</w:t>
      </w:r>
    </w:p>
    <w:p>
      <w:r>
        <w:t>FR: TF 4D 35/2024 du 26 mars 2024</w:t>
      </w:r>
    </w:p>
    <w:p>
      <w:r>
        <w:t>IT: TF 4D 35/2024 del 26 marzo 2024</w:t>
      </w:r>
    </w:p>
    <w:p>
      <w:pPr>
        <w:pStyle w:val="Heading2"/>
      </w:pPr>
      <w:r>
        <w:t>Regeste</w:t>
      </w:r>
    </w:p>
    <w:p>
      <w:r>
        <w:t>mainlevée provisoire, | Droit des poursuites et faillites</w:t>
      </w:r>
    </w:p>
    <w:p>
      <w:pPr>
        <w:pStyle w:val="Heading2"/>
      </w:pPr>
      <w:r>
        <w:t>Erwägungen</w:t>
      </w:r>
    </w:p>
    <w:p>
      <w:r>
        <w:rPr>
          <w:b/>
        </w:rPr>
        <w:t>E. 1</w:t>
      </w:r>
    </w:p>
    <w:p>
      <w:r>
        <w:t>Par décision du 26 janvier 2024, la Présidente du Tribunal civil de l'arrondissement de la Sarine a prononcé la mainlevée provisoire de l'opposition formée par A.________ (ci-après: la poursuivie ou la recourante) au commandement de payer 14'239 fr. 05 que lui avait fait notifier B.________ SA (ci-après: la poursuivante) dans la poursuite n o xxx. Par arrêt du 8 février 2024, la II e Cour d'appel civil du Tribunal cantonal de l'État de Fribourg a déclaré irrecevable le recours formé par la poursuivie à l'encontre de ladite décision.</w:t>
      </w:r>
    </w:p>
    <w:p>
      <w:r>
        <w:rPr>
          <w:b/>
        </w:rPr>
        <w:t>E. 2</w:t>
      </w:r>
    </w:p>
    <w:p>
      <w:r>
        <w:t>Le 6 mars 2024, la poursuivie a formé un recours contre ledit arrêt auprès du Tribunal fédéral. En substance, elle conclut à l'octroi de dommages et intérêts et à l'instruction d'une " procédure pénal complete des faits pertinents existants [sic] ". Dans la mesure notamment où seule la question de la mainlevée de l'opposition a fait l'objet de l'arrêt entrepris, ces conclusions sont nouvelles et, partant, irrecevables ( art. 99 al. 2 LTF ). On peut toutefois comprendre, à la lumière du reste du recours, que la recourante entend également s'opposer à la mainlevée provisoire prononcée dans la poursuite ouverte à son encontre. La recourante sollicite en outre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4D_4/2024 précité consid. 6.1; 4A_621/2021 du 30 août 2022 consid. 3).</w:t>
      </w:r>
    </w:p>
    <w:p>
      <w:r>
        <w:rPr>
          <w:b/>
        </w:rPr>
        <w:t>E. 4.3</w:t>
      </w:r>
    </w:p>
    <w:p>
      <w:r>
        <w:t>La première juge a jugé que l'acte de défaut de biens du 14 juin 2006 produit par la poursuivante remplissait les conditions de l' art. 82 LP et valait ainsi titre de mainlevée provisoire.</w:t>
      </w:r>
    </w:p>
    <w:p>
      <w:r>
        <w:rPr>
          <w:b/>
        </w:rPr>
        <w:t>E. 4.4</w:t>
      </w:r>
    </w:p>
    <w:p>
      <w:r>
        <w:t>La cour cantonale a considéré que le recours formé par la poursuivie n'exposait aucune critique motivée à l'encontre de la décision de première instance et ne répondait donc pas aux exigences de motivation posées par l' art. 321 al. 1 CPC , de sorte que ledit recours était irrecevable.</w:t>
      </w:r>
    </w:p>
    <w:p>
      <w:r>
        <w:rPr>
          <w:b/>
        </w:rPr>
        <w:t>E. 4.5</w:t>
      </w:r>
    </w:p>
    <w:p>
      <w:r>
        <w:t>En substance, la recourante se plaint de divers agissements de la poursuivante et considère que celle-ci lui a porté des " atteintes de diffamation, fraude [...] [et] escroquerie ".</w:t>
      </w:r>
    </w:p>
    <w:p>
      <w:r>
        <w:rPr>
          <w:b/>
        </w:rPr>
        <w:t>E. 4.6</w:t>
      </w:r>
    </w:p>
    <w:p>
      <w:r>
        <w:t>La recourante ne démontre pas, références précises à l'appui, qu'elle aurait valablement remis en cause la motivation de la décision de la première juge dans son recours cantonal et que la cour cantonale aurait arbitrairement appliqué l' art. 321 CPC , de sorte que son recours est irrecevable (cf. supra consid. 4.2), ce qu'il y a lieu de constater par voie de procédure simplifiée ( art. 108 al. 1 let. b LTF ). La recourante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de la recourante. Les frais judiciaires seront mis à la charge de la recourante, qui succombe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