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4D_35/2023 vom 16. Juni 2023</w:t>
      </w:r>
    </w:p>
    <w:p>
      <w:r>
        <w:t>Bundesgericht, 2023-06-16, DE</w:t>
      </w:r>
    </w:p>
    <w:p>
      <w:r>
        <w:rPr>
          <w:b/>
        </w:rPr>
        <w:t xml:space="preserve">Quelle: </w:t>
      </w:r>
      <w:r>
        <w:t>https://mcp.opencaselaw.ch/entscheid/bger_4D_35_2023</w:t>
      </w:r>
    </w:p>
    <w:p>
      <w:r>
        <w:t>FR: TF 4D_35/2023 du 16 juin 2023</w:t>
      </w:r>
    </w:p>
    <w:p>
      <w:r>
        <w:t>IT: TF 4D_35/2023 del 16 giugno 2023</w:t>
      </w:r>
    </w:p>
    <w:p>
      <w:pPr>
        <w:pStyle w:val="Heading2"/>
      </w:pPr>
      <w:r>
        <w:t>Erwägungen</w:t>
      </w:r>
    </w:p>
    <w:p>
      <w:r>
        <w:rPr>
          <w:b/>
        </w:rPr>
        <w:t>E. 1</w:t>
      </w:r>
    </w:p>
    <w:p>
      <w:r>
        <w:t>Die Parteien schlossen am 4./9. Mai 2022 einen Mietvertrag über eine 4-Zimmerwohnung in der Liegenschaft U.________ in V.________ mit Mietbeginn am 1. Juni 2022. Am 9. Dezember 2022 kündigte der Beschwerdegegner diesen Mietvertrag wegen Zahlungsverzugs des Beschwerdeführers gestützt auf Art. 257d OR .</w:t>
      </w:r>
    </w:p>
    <w:p>
      <w:r>
        <w:t>Am 2. März 2023 wies das Bezirksgericht Kreuzlingen den Beschwerdeführer auf Gesuch des Beschwerdegegners hin an, die 4-Zimmer-Wohnung, 2. OG links, inklusive Kellerraum an der vorgenannten Adresse bis am 13. März 2023 zu räumen und ordnungsgemäss zu verlassen sowie sämtliche Schlüssel des Mietobjekts zurückzugeben, unter Androhung von Ungehorsamsstrafe nach Art. 292 StGB und Zwangsvollstreckung für den Unterlassungsfall.</w:t>
      </w:r>
    </w:p>
    <w:p>
      <w:r>
        <w:t>Mit Entscheid vom 3. Mai 2023 wies das Obergericht des Kantons Thurgau eine vom Beschwerdeführer dagegen erhobene Berufung ab, soweit es darauf eintrat, und setzte dem Beschwerdeführer eine neue Auszugsfrist von zwanzig Tagen ab Eröffnung seines Entscheids an.</w:t>
      </w:r>
    </w:p>
    <w:p>
      <w:r>
        <w:t>Der Beschwerdeführer erhob gegen diesen Entscheid beim Bundesgericht mit am 14. Juni 2023 überbrachter Eingabe Beschwerde und ersuchte gleichzeitig darum, es sei dieser die aufschiebende Wirkung zu gewähren.</w:t>
      </w:r>
    </w:p>
    <w:p>
      <w:r>
        <w:t>Auf die Einholung von Vernehmlassungen zur Beschwerde wurde vorliegend verzichtet.</w:t>
      </w:r>
    </w:p>
    <w:p>
      <w:r>
        <w:rPr>
          <w:b/>
        </w:rPr>
        <w:t>E. 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t>Der Beschwerdeführer setzt sich in seiner Beschwerdeeingabe offensichtlich nicht hinreichend mit den einlässlichen Erwägungen im angefochtenen Urteil auseinander und zeigt nicht rechtsgenügend auf, inwiefern die Vorinstanz mit ihrem darauf gestützten Entscheid Bundesrecht verletzt hätte. Vielmehr beharrt er, soweit verständlich, im Wesentlichen bloss auf seinem Standpunkt, es hätte keine Ausweisung im Verfahren des Rechtsschutzes in klaren Fällen ausgesprochen werden dürfen, nachdem er die Kündigung des Mietvertrages bei der Mietschlichtungsstelle angefochten habe.</w:t>
      </w:r>
    </w:p>
    <w:p>
      <w:r>
        <w:t>Auf die Beschwerde ist somit mangels hinreichender Begründung nicht einzutreten ( Art. 108 Abs. 1 lit. b BGG ).</w:t>
      </w:r>
    </w:p>
    <w:p>
      <w:r>
        <w:rPr>
          <w:b/>
        </w:rPr>
        <w:t>E. 3</w:t>
      </w:r>
    </w:p>
    <w:p>
      <w:r>
        <w:t>Auf die Erhebung von Gerichtskosten ist ausnahmsweise zu verzichten (Art. 66 Abs. 1 zweiter Satz BGG). Der Beschwerdegegner hat keinen Anspruch auf eine Parteientschädigung, da ihm aus dem bundesgerichtlichen Verfahren kein Aufwand entstanden ist ( Art. 68 Abs. 1 BGG ).</w:t>
      </w:r>
    </w:p>
    <w:p>
      <w:r>
        <w:t>Das Gesuch um Erteilung der aufschiebenden Wirkung wird mit dem vorliegenden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