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4D_35/2022 vom 7. September 2022</w:t>
      </w:r>
    </w:p>
    <w:p>
      <w:r>
        <w:t>Bundesgericht, 2022-09-07, DE</w:t>
      </w:r>
    </w:p>
    <w:p>
      <w:r>
        <w:rPr>
          <w:b/>
        </w:rPr>
        <w:t xml:space="preserve">Quelle: </w:t>
      </w:r>
      <w:r>
        <w:t>https://mcp.opencaselaw.ch/entscheid/bger_4D_35_2022</w:t>
      </w:r>
    </w:p>
    <w:p>
      <w:r>
        <w:t>FR: TF 4D_35/2022 du 7 septembre 2022</w:t>
      </w:r>
    </w:p>
    <w:p>
      <w:r>
        <w:t>IT: TF 4D_35/2022 del 7 settembre 2022</w:t>
      </w:r>
    </w:p>
    <w:p>
      <w:pPr>
        <w:pStyle w:val="Heading2"/>
      </w:pPr>
      <w:r>
        <w:t>Erwägungen</w:t>
      </w:r>
    </w:p>
    <w:p>
      <w:r>
        <w:rPr>
          <w:b/>
        </w:rPr>
        <w:t>E. 1</w:t>
      </w:r>
    </w:p>
    <w:p>
      <w:r>
        <w:t>Mit Entscheid vom 1. Dezember 2021 verpflichtete das Regionalgericht Bern-Mittelland den Beschwerdeführer, dem Beschwerdegegner Fr. 7'320.-- nebst Zins zu bezahlen und hob den Rechtsvorschlag im entsprechenden Umfang auf.</w:t>
      </w:r>
    </w:p>
    <w:p>
      <w:r>
        <w:t>Die dagegen erhobene Beschwerde wies das Obergericht des Kantons Bern mit Entscheid vom 22. Juni 2022 als offensichtlich unbegründet bzw. als offensichtlich unzulässig ab. Sodann wies es auch das Gesuch um Gewährung der unentgeltlichen Rechtspflege für das Beschwerdeverfahren ab.</w:t>
      </w:r>
    </w:p>
    <w:p>
      <w:r>
        <w:t>Gegen den Entscheid des Obergerichts erhebt der Beschwerdeführer mit Eingabe vom 29. Juli 2022 Beschwerde in Zivilsachen und subsidiäre Verfassungsbeschwerde an das Bundesgericht.</w:t>
      </w:r>
    </w:p>
    <w:p>
      <w:r>
        <w:t>Auf das Einholen von Vernehmlassungen zur Beschwerde wurde verzichtet.</w:t>
      </w:r>
    </w:p>
    <w:p>
      <w:r>
        <w:rPr>
          <w:b/>
        </w:rPr>
        <w:t>E. 2</w:t>
      </w:r>
    </w:p>
    <w:p>
      <w:r>
        <w:t>Das Bundesgericht prüft von Amtes wegen und mit freier Kognition, ob ein Rechtsmittel zulässig ist ( Art. 29 Abs. 1 BGG ; BGE 141 III 395 E. 2.1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weniger als Fr. 30'000.--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nur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3.3</w:t>
      </w:r>
    </w:p>
    <w:p>
      <w:r>
        <w:t>Diesen Begründungsanforderungen genügt die Eingabe des Beschwerdeführers offensichtlich nicht. Vielmehr kritisiert er darin bloss den vorinstanzlichen Entscheid, rügt eine "Rechtsverletzung" und behauptet pauschal, dass sein Anspruch auf rechtliches Gehör verletzt worden sei. Er schildert aber dafür bloss seine eigene Sicht der Dinge, ohne indessen auf die ausführlichen Erwägungen der Vorinstanz hinreichend konkret einzugehen, geschweige denn nachvollziehbar aufzuzeigen, inwiefern die Vorinstanz seine verfassungsmässigen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Der Beschwerdegegner hat keinen Anspruch auf eine Parteientschädigung, da ihm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