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33/2024 vom 29. Februar 2024</w:t>
      </w:r>
    </w:p>
    <w:p>
      <w:r>
        <w:t>Bundesgericht, 2024-02-29, DE</w:t>
      </w:r>
    </w:p>
    <w:p>
      <w:r>
        <w:rPr>
          <w:b/>
        </w:rPr>
        <w:t xml:space="preserve">Quelle: </w:t>
      </w:r>
      <w:r>
        <w:t>https://mcp.opencaselaw.ch/entscheid/bger_4D_33_2024</w:t>
      </w:r>
    </w:p>
    <w:p>
      <w:r>
        <w:t>FR: TF 4D 33/2024 du 29 février 2024</w:t>
      </w:r>
    </w:p>
    <w:p>
      <w:r>
        <w:t>IT: TF 4D 33/2024 del 29 febbraio 2024</w:t>
      </w:r>
    </w:p>
    <w:p>
      <w:pPr>
        <w:pStyle w:val="Heading2"/>
      </w:pPr>
      <w:r>
        <w:t>Regeste</w:t>
      </w:r>
    </w:p>
    <w:p>
      <w:r>
        <w:t>Mieterausweisung, | Vertragsrecht</w:t>
      </w:r>
    </w:p>
    <w:p>
      <w:pPr>
        <w:pStyle w:val="Heading2"/>
      </w:pPr>
      <w:r>
        <w:t>Erwägungen</w:t>
      </w:r>
    </w:p>
    <w:p>
      <w:r>
        <w:rPr>
          <w:b/>
        </w:rPr>
        <w:t>E. 1</w:t>
      </w:r>
    </w:p>
    <w:p>
      <w:r>
        <w:t>Die Präsidentin des Bezirksgerichts Baden stellte auf Gesuch der Beschwerdegegnerin hin mit Entscheid vom 22. September 2023 fest, dass das Mietverhältnis zwischen den Parteien über die 4½-Zimmerwohnung an der U.________strasse in V.________ seit dem 31. Mai 2023 aufgelöst sei, und verpflichtete die Beschwerdeführer, das Mietobjekt spätestens innert 10 Tagen nach Rechtskraft des Entscheids zu räumen und zu verlassen sowie in vertragsgemässem Zustand einschliesslich sämtlicher Schlüssel zu übergeben, unter Androhung des polizeilichen Vollzuges im Unterlassungsfall. Eine gegen diesen Entscheid erhobene Berufung wies das Obergericht des Kantons Aargau mit Entscheid vom 22. Januar 2024 ab. Die Beschwerdeführer erhoben gegen diesen Entscheid beim Bundesgericht mit einer vom 26. Februar 2024 datierten Eingabe (Poststempel vom 27. Februar 2024) Beschwerde. Auf die Einholung von Vernehmlassungen zur Beschwerde wurde verzichtet.</w:t>
      </w:r>
    </w:p>
    <w:p>
      <w:r>
        <w:rPr>
          <w:b/>
        </w:rPr>
        <w:t>E. 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Das Bundesgericht legt seinem Urteil den Sachverhalt zugrunde, den die Vorinstanz festgestellt hat ( Art. 105 Abs. 1 BGG ). Das Bundesgericht kann die Sachverhaltsfeststellung der Vorinstanz nur berichtigen oder ergänzen, wenn sie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 (sog. Sachverhaltsrüge).</w:t>
      </w:r>
    </w:p>
    <w:p>
      <w:r>
        <w:rPr>
          <w:b/>
        </w:rPr>
        <w:t>E. 3.1</w:t>
      </w:r>
    </w:p>
    <w:p>
      <w:r>
        <w:t>Diesen Anforderungen an die Begründung genügt die Beschwerdeeingabe der Beschwerdeführer offensichtlich nicht. So setzen sich die Beschwerdeführer darin offensichtlich nicht hinreichend mit den Erwägungen im angefochtenen Entscheid auseinander und zeigen nicht rechtsgenügend auf, inwiefern die Vorinstanz mit ihrem darauf gestützten Entscheid Bundesrecht verletzt hätte. Vielmehr begnügen sie sich im Wesentlichen damit, dem Bundesgericht bloss ihre bereits bei der Vorinstanz vorgetragenen Standpunkte zu unterbreiten, welche die Vorinstanz als neue und damit im Berufungsverfahren unzulässige Vorbringen qualifizierte und überdies in einer Alternativbegründung widerlegte. Dabei erweitern sie den im angefochtenen Urteil festgestellten Sachverhalt nach Belieben, ohne dazu Sachverhaltsrügen im vorstehend umschriebenen Sinne zu substanziieren. Darauf kann nicht eingetreten werden.</w:t>
      </w:r>
    </w:p>
    <w:p>
      <w:r>
        <w:rPr>
          <w:b/>
        </w:rPr>
        <w:t>E. 3.2</w:t>
      </w:r>
    </w:p>
    <w:p>
      <w:r>
        <w:t>Die Beschwerdeführer stellen sinngemäss eine Ergänzung der Beschwerdebegründung in Aussicht. Eine Beschwerde ist - abgesehen von der hier nicht gegebenen Ausnahme nach Art. 43 BGG - innert der Beschwerdefrist mit einem Antrag und vollständig begründet einzureichen ( Art. 42 Abs. 1 BGG ). Eine Ergänzung der Beschwerdebegründung nach Ablauf der Beschwerdefrist kann nicht zugelassen werden ( BGE 134 II 244 E. 2.4; 133 III 489 E. 3.3). Bei der Beschwerdefrist nach Art. 100 Abs. 1 BGG handelt es sich sodann um eine gesetzliche Frist, die nach Art. 47 BGG nicht erstreckt werden kann. Der angefochtene Entscheid wurde den Beschwerdeführern gemäss der Sendungsverfolgung der Post am 27. Januar 2024 zugestellt. Die Frist für eine Beschwerde dagegen lief demnach am 26. Februar 2024 ab ( Art. 44 Abs. 1 und Art. 100 Abs. 1 BGG ). Da die vorliegende Beschwerde beim Bundesgericht erst am 28. Februar 2024, d.h. nach Fristablauf, einging, fällt eine Ergänzung der Beschwerdebegründung ausser Betracht.</w:t>
      </w:r>
    </w:p>
    <w:p>
      <w:r>
        <w:rPr>
          <w:b/>
        </w:rPr>
        <w:t>E. 3.3</w:t>
      </w:r>
    </w:p>
    <w:p>
      <w:r>
        <w:t>Auf die Beschwerde ist somit mangels hinreichender Begründung nicht einzutreten ( Art. 108 Abs. 1 lit. b BGG ).</w:t>
      </w:r>
    </w:p>
    <w:p>
      <w:r>
        <w:rPr>
          <w:b/>
        </w:rPr>
        <w:t>E. 4</w:t>
      </w:r>
    </w:p>
    <w:p>
      <w:r>
        <w:t>Dem Ausgang des Verfahrens entsprechend sind die Gerichtskosten den Beschwerdeführern unter solidarischer Haftbarkeit aufzuerlegen ( Art. 66 Abs. 1 und 5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