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4D_33/2022 vom 30. August 2022</w:t>
      </w:r>
    </w:p>
    <w:p>
      <w:r>
        <w:t>Bundesgericht, 2022-08-30, DE</w:t>
      </w:r>
    </w:p>
    <w:p>
      <w:r>
        <w:rPr>
          <w:b/>
        </w:rPr>
        <w:t xml:space="preserve">Quelle: </w:t>
      </w:r>
      <w:r>
        <w:t>https://mcp.opencaselaw.ch/entscheid/bger_4D_33_2022</w:t>
      </w:r>
    </w:p>
    <w:p>
      <w:r>
        <w:t>FR: TF 4D_33/2022 du 30 août 2022</w:t>
      </w:r>
    </w:p>
    <w:p>
      <w:r>
        <w:t>IT: TF 4D_33/2022 del 30 agosto 2022</w:t>
      </w:r>
    </w:p>
    <w:p>
      <w:pPr>
        <w:pStyle w:val="Heading2"/>
      </w:pPr>
      <w:r>
        <w:t>Erwägungen</w:t>
      </w:r>
    </w:p>
    <w:p>
      <w:r>
        <w:rPr>
          <w:b/>
        </w:rPr>
        <w:t>E. 1</w:t>
      </w:r>
    </w:p>
    <w:p>
      <w:r>
        <w:t>Mit Entscheid vom 4. Mai 2022 wies die Einzelrichterin des Bezirksgerichts Luzern im Rahmen eines vom Beschwerdeführer angestrengten Forderungsprozesses dessen Gesuch um Gewährung der unentgeltlichen Rechtspflege ab.</w:t>
      </w:r>
    </w:p>
    <w:p>
      <w:r>
        <w:t>Mit Entscheid vom 23. Juni 2022 wies das Kantonsgericht Luzern eine vom Beschwerdeführer gegen den einzelrichterlichen Entscheid vom 4. Mai 2022 erhobene Beschwerde ab, soweit es darauf eintrat.</w:t>
      </w:r>
    </w:p>
    <w:p>
      <w:r>
        <w:t>Mit Eingabe vom 23. Juli 2022 erklärte der Beschwerdeführer dem Bundesgericht, den Entscheid des Kantonsgerichts Luzern vom 23. Juni 2022 mit Beschwerde anfechten zu wollen.</w:t>
      </w:r>
    </w:p>
    <w:p>
      <w:r>
        <w:t>Es wurde keine Vernehmlassung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w:t>
      </w:r>
    </w:p>
    <w:p>
      <w:r>
        <w:t>Der Beschwerdeführer zeigt nicht unter Bezugnahme auf die Erwägungen des angefochtenen Entscheids des Kantonsgerichts Luzern vom 23. Juni 2022 auf, inwiefern die Vorinstanz mit ihrem Entscheid verfassungsmässige Rechte verletzt hätte, sondern unterbreitet dem Bundesgericht in unzulässiger Weise seine eigene Sicht der Dinge zu seinen Lebensumständen und den angeblich verfügbaren Mitteln, nachdem er sich im kantonalen Verfahren nicht zur Mittellosigkeit geäussert hatte. Die Eingabe des Beschwerdeführers vom 23. Juli 2022 erfüllt die gesetzlichen Begründungsanforderungen daher offensichtlich nicht.</w:t>
      </w:r>
    </w:p>
    <w:p>
      <w:r>
        <w:t>Auf die Beschwerde ist somit mangels hinreichender Begründung nicht einzutreten ( Art. 108 Abs. 1 lit. b BGG ).</w:t>
      </w:r>
    </w:p>
    <w:p>
      <w:r>
        <w:rPr>
          <w:b/>
        </w:rPr>
        <w:t>E. 4</w:t>
      </w:r>
    </w:p>
    <w:p>
      <w:r>
        <w:t>Mit dem Entscheid in der Sache wird das Gesuch um aufschiebende Wirkung gegenstandslos. Unter den gegebenen Umständen ist ausnahmsweise auf die Erhebung von Gerichtskosten zu verzichten (Art. 66 Abs. 1 zweiter Satz BGG), womit das Gesuch um Befreiung von diesen Kosten im bundesgerichtlichen Verfahren gegenstandslos wird. Dem Beschwerdegegner steht keine Parteientschädigung zu ( Art. 66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