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4D_32/2019 vom 13. Juni 2019</w:t>
      </w:r>
    </w:p>
    <w:p>
      <w:r>
        <w:t>Bundesgericht, 2019-06-13, FR</w:t>
      </w:r>
    </w:p>
    <w:p>
      <w:r>
        <w:rPr>
          <w:b/>
        </w:rPr>
        <w:t xml:space="preserve">Quelle: </w:t>
      </w:r>
      <w:r>
        <w:t>https://mcp.opencaselaw.ch/entscheid/bger_4D_32_2019</w:t>
      </w:r>
    </w:p>
    <w:p>
      <w:r>
        <w:t>FR: TF 4D_32/2019 du 13 juin 2019</w:t>
      </w:r>
    </w:p>
    <w:p>
      <w:r>
        <w:t>IT: TF 4D_32/2019 del 13 giugno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4D_32/2019</w:t>
      </w:r>
    </w:p>
    <w:p>
      <w:r>
        <w:t>Arrêt du 13 juin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</w:t>
      </w:r>
    </w:p>
    <w:p>
      <w:r>
        <w:t>intimée.</w:t>
      </w:r>
    </w:p>
    <w:p>
      <w:r>
        <w:t>Objet</w:t>
      </w:r>
    </w:p>
    <w:p>
      <w:r>
        <w:t>bail à loyer; expulsion du locataire</w:t>
      </w:r>
    </w:p>
    <w:p>
      <w:r>
        <w:t>recours contre l'arrêt rendu le 2 mai 2019 par la Chambre des baux et loyers de la Cour de justice du canton de Genève</w:t>
      </w:r>
    </w:p>
    <w:p>
      <w:r>
        <w:t>(C/1616/2019, ACJC/641/2019).</w:t>
      </w:r>
    </w:p>
    <w:p>
      <w:r>
        <w:t>Considérant :</w:t>
      </w:r>
    </w:p>
    <w:p>
      <w:r>
        <w:t>Que par jugement du 11 avril 2019, le Tribunal des baux et loyers du canton de Genève a condamné X.________ à évacuer et restituer sans délai un appartement qui lui a été remis à bail dans un bâtiment du centre de Genève;</w:t>
      </w:r>
    </w:p>
    <w:p>
      <w:r>
        <w:t>Que le tribunal a autorisé l'adverse partie à requérir l'évacuation forcée sous contrainte de la force publique;</w:t>
      </w:r>
    </w:p>
    <w:p>
      <w:r>
        <w:t>Que la Chambre des baux et loyers de la Cour de justice a statué le 2 mai 2019 sur le recours de X.________;</w:t>
      </w:r>
    </w:p>
    <w:p>
      <w:r>
        <w:t>Qu'elle a déclaré ce recours irrecevable faute de satisfaire aux exigences de l' art. 321 al. 1 CPC concernant la motivation du recours;</w:t>
      </w:r>
    </w:p>
    <w:p>
      <w:r>
        <w:t>Que X.________ saisit le Tribunal fédéral d'un recours dirigé contre ce prononcé;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l'acte de recours est difficilement lisible et intelligible;</w:t>
      </w:r>
    </w:p>
    <w:p>
      <w:r>
        <w:t>Que son auteur n'y expose pas en quoi la Cour de justice a éventuellement appliqué de manière incorrecte l' art. 321 al. 1 CPC et violé ses droits constitutionnels ( art. 116 LTF );</w:t>
      </w:r>
    </w:p>
    <w:p>
      <w:r>
        <w:t>Que le recours est par conséquent irrecevable au regard de l' art. 42 al. 1 et 2 LTF ;</w:t>
      </w:r>
    </w:p>
    <w:p>
      <w:r>
        <w:t>Que X.________ devrait en principe acquitter l'émolument judiciaire à percevoir par le Tribunal fédéral;</w:t>
      </w:r>
    </w:p>
    <w:p>
      <w:r>
        <w:t>Qu'à titre exceptionnel, le tribunal peut renoncer au prélèvement de cette contribution.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13 juin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