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4D_31/2025 vom 3. April 2025</w:t>
      </w:r>
    </w:p>
    <w:p>
      <w:r>
        <w:t>Bundesgericht, 2025-04-03, DE</w:t>
      </w:r>
    </w:p>
    <w:p>
      <w:r>
        <w:rPr>
          <w:b/>
        </w:rPr>
        <w:t xml:space="preserve">Quelle: </w:t>
      </w:r>
      <w:r>
        <w:t>https://mcp.opencaselaw.ch/entscheid/bger_4D_31_2025</w:t>
      </w:r>
    </w:p>
    <w:p>
      <w:r>
        <w:t>FR: TF 4D_31/2025 du 3 avril 2025</w:t>
      </w:r>
    </w:p>
    <w:p>
      <w:r>
        <w:t>IT: TF 4D_31/2025 del 3 aprile 2025</w:t>
      </w:r>
    </w:p>
    <w:p>
      <w:pPr>
        <w:pStyle w:val="Heading2"/>
      </w:pPr>
      <w:r>
        <w:t>Erwägungen</w:t>
      </w:r>
    </w:p>
    <w:p>
      <w:r>
        <w:rPr>
          <w:b/>
        </w:rPr>
        <w:t>E. 1</w:t>
      </w:r>
    </w:p>
    <w:p>
      <w:r>
        <w:t>Mit Entscheid vom 29. Oktober 2024 erteilte das Regionalgericht Emmental-Oberaargau dem Beschwerdegegner in der Betreibung Nr. xxx des Betreibungsamtes U.________, Dienststelle Oberaargau definitive Rechtsöffnung für Fr. 200.--. Gegen diesen Entscheid erhob der Beschwerdeführer Beschwerde an das Obergericht des Kantons Bern. Mit Entscheid vom 3. Januar 2025 trat das Obergericht auf die Beschwerde nicht ein.</w:t>
      </w:r>
    </w:p>
    <w:p>
      <w:r>
        <w:t>Dagegen erhebt der Beschwerdeführer mit der am 18. Februar 2025 der Post übergebenen Eingabe Beschwerde an das Bundesgericht. Am 26. März 2025 reichte er eine weitere Eingabe ein und stellte ein Gesuch um unentgeltliche Rechtspflege.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rPr>
          <w:b/>
        </w:rPr>
        <w:t>E. 2.2</w:t>
      </w:r>
    </w:p>
    <w:p>
      <w:r>
        <w:t>Der angefochtene Entscheid des Obergerichts wurde am 6. Januar 2025 versandt und dem Beschwerdeführer gemäss der Sendungsverfolgung der Post am 7. Januar 2025 zur Abholung gemeldet (Abholungseinladung) mit einer Frist zur Abholung bis am 14. Januar 2025. Der Beschwerdeführer, welche der Post einen Auftrag zur Verlängerung der Abholungsfrist erteilt hatte, nahm die Sendung erst am 18. Januar 2025 am Schalter in Empfang.</w:t>
      </w:r>
    </w:p>
    <w:p>
      <w:r>
        <w:t>Der angefochtene Entscheid gilt unter diesen Umständen am siebten Tag nach dem ersten erfolglosen Zustellungsversuch, mithin am 14. Januar 2025, als zugestellt ( Art. 44 Abs. 2 BGG ). Die dreissigtägige Frist für eine Beschwerde nach Art. 100 Abs. 1 BGG begann somit am 15. Januar 2025 zu laufen und endete am 13. Februar 2025 ( Art. 44 Abs. 1 BGG ). Die Anweisung gegenüber der Post, Zusendungen zurückzubehalten, vermochte den Beginn der Beschwerdefrist nicht hinauszuschieben, da der Beschwerdeführer mit der fraglichen Zustellung hatte rechnen müssen ( BGE 141 II 429 E. 3.3 mit Hinweisen). Die erst am 18. Februar 2025 der Post übergebene Eingabe des Beschwerdeführers ist somit verspätet. Damit ist die Beschwerdefrist nicht eingehalten und auf die Beschwerde ist demnach schon aus diesem Grund nicht einzutreten ( Art. 108 Abs. 1 lit. a BGG ).</w:t>
      </w:r>
    </w:p>
    <w:p>
      <w:r>
        <w:t>Unabhängig davon ist auch aus folgenden Gründen auf die Beschwerde nicht einzutreten.</w:t>
      </w:r>
    </w:p>
    <w:p>
      <w:r>
        <w:rPr>
          <w:b/>
        </w:rPr>
        <w:t>E. 3.1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3.2</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Eingaben des Beschwerdeführers erfüllen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auch mangels hinreichender Begründung nicht einzutreten ( Art. 108 Abs. 1 lit. b BGG in Verbindung mit Art. 117 BGG ).</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