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4D_31/2024 vom 24. April 2024</w:t>
      </w:r>
    </w:p>
    <w:p>
      <w:r>
        <w:t>Bundesgericht, 2024-04-24, DE</w:t>
      </w:r>
    </w:p>
    <w:p>
      <w:r>
        <w:rPr>
          <w:b/>
        </w:rPr>
        <w:t xml:space="preserve">Quelle: </w:t>
      </w:r>
      <w:r>
        <w:t>https://mcp.opencaselaw.ch/entscheid/bger_4D_31_2024</w:t>
      </w:r>
    </w:p>
    <w:p>
      <w:r>
        <w:t>FR: TF 4D_31/2024 du 24 avril 2024</w:t>
      </w:r>
    </w:p>
    <w:p>
      <w:r>
        <w:t>IT: TF 4D_31/2024 del 24 aprile 2024</w:t>
      </w:r>
    </w:p>
    <w:p>
      <w:pPr>
        <w:pStyle w:val="Heading2"/>
      </w:pPr>
      <w:r>
        <w:t>Erwägungen</w:t>
      </w:r>
    </w:p>
    <w:p>
      <w:r>
        <w:rPr>
          <w:b/>
        </w:rPr>
        <w:t>E. 1.1</w:t>
      </w:r>
    </w:p>
    <w:p>
      <w:r>
        <w:t>Mit Urteil vom 4. Januar 2024 erteilte das Bezirksgericht Bülach der Beschwerdegegnerin in der Betreibung Nr. xxx des Betreibungsamts X.________ gegen den Beschwerdeführer provisorische Rechtsöffnung für Forderungen von Fr. 300.-- nebst 5% Zins seit 20. Dezember 2022, Fr. 350.-- nebst 5% Zins seit 31. Dezember 2022 und Fr. 350.-- nebst 5% Zins seit 31. Januar 2023 sowie für Betreibungskosten. Im Mehrbetrag wies das Bezirksgericht das Rechtsöffnungsbegehren ab. Es qualifizierte die schriftliche Schuldanerkennung des Beschwerdeführers vom 19. April 2022 als provisorischen Rechtsöffnungstitel. Zum Zeitpunkt der Zustellung des Zahlungsbefehls am 10. Februar 2023 seien drei Raten aus der Schuldanerkennung von je Fr. 350.-- fällig gewesen, wobei der Beschwerdeführer eine Rate im Umfang von Fr. 50.-- getilgt habe. Die Einwendungen des Beschwerdeführers einer erpressten Unterzeichnung der Schuldanerkennung oder einer Tilgung der anerkannten Schuld erachtete das Bezirksgericht als nicht glaubhaft gemacht.</w:t>
      </w:r>
    </w:p>
    <w:p>
      <w:r>
        <w:rPr>
          <w:b/>
        </w:rPr>
        <w:t>E. 1.2</w:t>
      </w:r>
    </w:p>
    <w:p>
      <w:r>
        <w:t>Mit Urteil vom 24. Januar 2024 wies das Obergericht des Kantons Zürich die gegen den erstinstanzlichen Rechtsöffnungsentscheid geführte Beschwerde des Beschwerdeführers als offensichtlich unbegründet ab.</w:t>
      </w:r>
    </w:p>
    <w:p>
      <w:r>
        <w:rPr>
          <w:b/>
        </w:rPr>
        <w:t>E. 1.3</w:t>
      </w:r>
    </w:p>
    <w:p>
      <w:r>
        <w:t>Der Beschwerdeführer erhebt Beschwerde in Zivilsachen beim Bundesgericht mit dem Begehren, die Schuldanerkennung als ungültig anfechten zu wollen. Zusätzlich verlangt er von der Beschwerdegegnerin eine Entschuldigung und eine Entschädigung von Fr. 10'000.--.</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 ff.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(Art. 99 i.V.m. Art. 117 BGG ). Neue Begehren, mit denen eine Erweiterung des Streitgegenstands des vorinstanzlichen Verfahrens erfolgt, sind vor Bundesgericht unzulässig ( Art. 75 Abs. 1 und Art. 99 Abs. 2 BGG ; 143 III 254 E. 3.1).</w:t>
      </w:r>
    </w:p>
    <w:p>
      <w:r>
        <w:rPr>
          <w:b/>
        </w:rPr>
        <w:t>E. 2.4</w:t>
      </w:r>
    </w:p>
    <w:p>
      <w:r>
        <w:t>Die Beschwerde erfüllt diese Begründungsanforderungen offensichtlich nicht. Der Beschwerdeführer geht nicht auf die Erwägungen des angefochtenen Entscheids ein. Er verkennt, dass das bundesgerichtliche Verfahren auf die Frage beschränkt ist, ob die Vorinstanz verfassungsmässige Rechte verletzt hat, indem sie die Beschwerde als offensichtlich unbegründet abwies. Es genügt nicht, vor Bundesgericht die Einwendungen hinsichtlich einer Erpressung durch die Beschwerdegegnerin zu wiederholen und dem Bundesgericht ohne Bezug zum angefochtenen Urteil seine eigene Sicht zum Verlauf und Ende der Beziehung zur Beschwerdegegnerin, zu seinem Gesundheitszustand sowie dem Zusammenhang zur Schuldanerkennung zu schildern.</w:t>
      </w:r>
    </w:p>
    <w:p>
      <w:r>
        <w:rPr>
          <w:b/>
        </w:rPr>
        <w:t>E. 2.5</w:t>
      </w:r>
    </w:p>
    <w:p>
      <w:r>
        <w:t>Soweit der Beschwerdeführer hinsichtlich seines Gesundheitszustands vor Bundesgericht neue Beweismittel einreicht, begründet er nicht, inwiefern der angefochtene Entscheid hierzu Anlass gibt, weshalb diese Noven unbeachtlich bleiben. Das neue Begehren des Beschwerdeführers um Entschuldigung und Entschädigung erweitert den Streitgegenstand des vorinstanzlichen Rechtsöffnungsverfahrens und ist damit offensichtlich unzulässig.</w:t>
      </w:r>
    </w:p>
    <w:p>
      <w:r>
        <w:rPr>
          <w:b/>
        </w:rPr>
        <w:t>E. 2.6</w:t>
      </w:r>
    </w:p>
    <w:p>
      <w:r>
        <w:t>Auf die Beschwerde ist somit im vereinfachten Verfahren gemäss Art. 108 Abs. 1 lit. a und lit. b BGG nicht einzutreten.</w:t>
      </w:r>
    </w:p>
    <w:p>
      <w:r>
        <w:rPr>
          <w:b/>
        </w:rPr>
        <w:t>E. 3</w:t>
      </w:r>
    </w:p>
    <w:p>
      <w:r>
        <w:t>Der Beschwerdeführer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