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31/2023 vom 22. Mai 2023</w:t>
      </w:r>
    </w:p>
    <w:p>
      <w:r>
        <w:t>Bundesgericht, 2023-05-22, DE</w:t>
      </w:r>
    </w:p>
    <w:p>
      <w:r>
        <w:rPr>
          <w:b/>
        </w:rPr>
        <w:t xml:space="preserve">Quelle: </w:t>
      </w:r>
      <w:r>
        <w:t>https://mcp.opencaselaw.ch/entscheid/bger_4D_31_2023</w:t>
      </w:r>
    </w:p>
    <w:p>
      <w:r>
        <w:t>FR: TF 4D 31/2023 du 22 mai 2023</w:t>
      </w:r>
    </w:p>
    <w:p>
      <w:r>
        <w:t>IT: TF 4D 31/2023 del 22 maggio 2023</w:t>
      </w:r>
    </w:p>
    <w:p>
      <w:pPr>
        <w:pStyle w:val="Heading2"/>
      </w:pPr>
      <w:r>
        <w:t>Regeste</w:t>
      </w:r>
    </w:p>
    <w:p>
      <w:r>
        <w:t>Mieterausweisung, | Vertragsrecht</w:t>
      </w:r>
    </w:p>
    <w:p>
      <w:pPr>
        <w:pStyle w:val="Heading2"/>
      </w:pPr>
      <w:r>
        <w:t>Erwägungen</w:t>
      </w:r>
    </w:p>
    <w:p>
      <w:r>
        <w:rPr>
          <w:b/>
        </w:rPr>
        <w:t>E. 1</w:t>
      </w:r>
    </w:p>
    <w:p>
      <w:r>
        <w:t>Mit Entscheid vom 28. November 2022 verpflichtete die Präsi- dentin des Bezirksgerichts Bremgarten die Beschwerdeführerin, die 4.5-Zimmer-Wohnung im Hochparterre an der U.________ in V.________, bis spätestens am 13. Dezember 2022 zu verlassen und ordnungsgemäss zu räumen, wobei für den Widerhandlungsfall als Vollstreckungsmassnahme die polizeiliche Räumung angeordnet wurde. Mit Entscheid vom 17. März 2023 wies das Obergericht des Kantons Aargau die von der Beschwerdeführerin gegen den bezirksgerichtlichen Entscheid vom 28. November 2022 erhobene Berufung ab. Mit der Post am 13. Mai 2023 übergebener Eingabe erklärte die Beschwerdeführerin dem Bundesgericht, den Entscheid des Obergerichts des Kantons Aargau vom 17. März 2023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nicht hinreichend mit den Erwägungen des angefochtenen Entscheids des Obergerichts des Kantons Aargau vom 17. März 2023 auseinander und zeigt nicht rechtsgenügend auf, inwiefern die Vorinstanz mit ihrem Entscheid Bundesrecht verletzt hätte. Vielmehr beruft sie sich in unzulässiger Weise auf ein neu eingereichtes Schreiben vom 9. Mai 2023 und unterbreitet dem Bundesgericht ihre eigene Sicht der Dinge. 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