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4D_31/2021 vom 22. Juni 2021</w:t>
      </w:r>
    </w:p>
    <w:p>
      <w:r>
        <w:t>Bundesgericht, 2021-06-22, DE</w:t>
      </w:r>
    </w:p>
    <w:p>
      <w:r>
        <w:rPr>
          <w:b/>
        </w:rPr>
        <w:t xml:space="preserve">Quelle: </w:t>
      </w:r>
      <w:r>
        <w:t>https://mcp.opencaselaw.ch/entscheid/bger_4D_31_2021</w:t>
      </w:r>
    </w:p>
    <w:p>
      <w:r>
        <w:t>FR: TF 4D_31/2021 du 22 juin 2021</w:t>
      </w:r>
    </w:p>
    <w:p>
      <w:r>
        <w:t>IT: TF 4D_31/2021 del 22 giugno 2021</w:t>
      </w:r>
    </w:p>
    <w:p>
      <w:pPr>
        <w:pStyle w:val="Heading2"/>
      </w:pPr>
      <w:r>
        <w:t>Erwägungen</w:t>
      </w:r>
    </w:p>
    <w:p>
      <w:r>
        <w:rPr>
          <w:b/>
        </w:rPr>
        <w:t>E. 1</w:t>
      </w:r>
    </w:p>
    <w:p>
      <w:r>
        <w:t>Der angefochtene Entscheid ist ein verfahrensabschliessender Endentscheid (Art. 117 i.V.m. Art. 90 BGG ) einer letzten kantonalen Instanz (Art. 114 i.V.m. Art. 75 Abs. 1 BGG ) betreffend Vollstreckbarerklärung eines österreichischen bedingten Zahlungsbefehls (Art. 72 Abs. 2 lit. b Ziff. 1 BGG). Der Streitwert erreicht die erforderliche Streitwertgrenze von Art. 74 Abs. 1 lit. b BGG nicht, weshalb die Beschwerde in Zivilsachen nicht gegeben ist. Die erhobene subsidiäre Verfassungsbeschwerde erweist sich demnach als das zulässige Rechtsmittel ( Art. 113 BGG ).</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135 III 127 E. 1.6; 133 III 439 E. 3.2).</w:t>
      </w:r>
    </w:p>
    <w:p>
      <w:r>
        <w:rPr>
          <w:b/>
        </w:rPr>
        <w:t>E. 2</w:t>
      </w:r>
    </w:p>
    <w:p>
      <w:r>
        <w:t>Der Beschwerdeführer rügt eine Verletzung seines Anspruchs auf rechtliches Gehör ( Art. 29 Abs. 2 BV und Art. 6 Ziff. 1 EMRK ), weil die Vorinstanz seine Stellungnahme vom 4. März 2021 zum Beweisergebnis nicht berücksichtigt habe.</w:t>
      </w:r>
    </w:p>
    <w:p>
      <w:r>
        <w:rPr>
          <w:b/>
        </w:rPr>
        <w:t>E. 2.1</w:t>
      </w:r>
    </w:p>
    <w:p>
      <w:r>
        <w:t>Gemäss Art. 29 Abs. 2 BV steht den Parteien das rechtliche Gehör zu. Der verfassungsmässige Anspruch auf rechtliches Gehör umfasst u.a.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w:t>
      </w:r>
    </w:p>
    <w:p>
      <w:r>
        <w:t>Der Anspruch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143 IV 380 E. 1.4.1; Urteile 4A_162/2021 vom 12. Mai 2021 E. 5.2; 4A_428/2020 vom 1. April 2021 E. 3.1).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4A_162/2021 vom 12. Mai 2021 E. 5.2; 4A_241/2020 vom 9. September 2020 E. 3.6).</w:t>
      </w:r>
    </w:p>
    <w:p>
      <w:r>
        <w:rPr>
          <w:b/>
        </w:rPr>
        <w:t>E. 2.2</w:t>
      </w:r>
    </w:p>
    <w:p>
      <w:r>
        <w:t>Vorliegend kommt der Beschwerdeführer diesen Anforderungen nach, indem er detailliert darlegt, worin die Verletzung des Anspruchs auf rechtliches Gehör bestehen soll und was er hätte in das Verfahren einbringen wollen. Auch führt er nachvollziehbar aus, dass seine Vorbringen, mit denen er nicht gehört wurde, entscheidrelevant sind und welchen Einfluss sie auf das Ergebnis des Verfahrens gehabt haben könnten.</w:t>
      </w:r>
    </w:p>
    <w:p>
      <w:r>
        <w:t>Konkret führt er aus, die mit Schreiben vom 17. Februar 2021 von der Vorinstanz angesetzte zehntägige Frist zur Stellungnahme zum Beweisergebnis sei für ihn am 4. März 2021 abgelaufen, nachdem das Schreiben ihm bzw. seinem Rechtsvertreter am 22. Februar 2021 zugestellt worden sei. Die Stellungnahme des Beschwerdeführers sei am 4. März 2021 fristwahrend der Schweizerischen Post übergeben worden. Die Vorinstanz habe jedoch ihren Entscheid bereits am 4. März 2021 gefällt und gleichentags versandt, ohne die fristgemässe Stellungnahme des Beschwerdeführers abzuwarten und zur Kenntnis zu nehmen. Folglich habe sie Dieselbe bei ihrem Entscheid nicht berücksichtigt. Damit habe sie sein rechtliches Gehör verletzt.</w:t>
      </w:r>
    </w:p>
    <w:p>
      <w:r>
        <w:t>Diese Darstellung wird von der Vorinstanz in deren Schreiben vom 8. März 2021 anerkannt und bedauert. Somit liegt eine Gehörsverletzung durch Nichtbeachtung der fristgemässen Stellungnahme vom 4. März 2021 vor.</w:t>
      </w:r>
    </w:p>
    <w:p>
      <w:r>
        <w:rPr>
          <w:b/>
        </w:rPr>
        <w:t>E. 2.3</w:t>
      </w:r>
    </w:p>
    <w:p>
      <w:r>
        <w:t>Weiter begründet der Beschwerdeführer, dass die Beachtung der Stellungnahme das Ergebnis des Entscheids zu seinen Gunsten beeinflussen könnte, die Rückweisung also kein Leerlauf wäre. Das Beweisverfahren habe ergeben, dass der bedingte Zahlungsbefehl ausschliesslich an den verbeiständeten Beschwerdeführer zugestellt worden sei. In der nicht beachteten Stellungnahme habe er nachgewiesen, dass der bedingte Zahlungsbefehl zwingend auch an die Beiständin hätte zugestellt werden müssen. Die unterlassene Zustellung an die Beiständin führe nach österreichischem Recht zur Nichtigkeit des streitgegenständlichen Zahlungsbefehls und damit zur Versagung der Vollstreckbarerklärung. Die Entscheidrelevanz der Ausführungen in seiner Stellungnahme vom 4. März 2021 werde dadurch belegt, dass das Bezirksgericht Bregenz mit Beschluss vom 9. April 2021 die Vollstreckbarkeit des bedingten Zahlungsbefehls vom 9. August 2018 aufgehoben habe, dies aufgrund der unterlassenen Zustellung an die Beiständin, was zur Nichtigkeit führe. Der streitgegenständliche bedingte Zahlungsbefehl könne somit in der Schweiz nicht mehr vollstreckt werden. Die Vorinstanz hätte im Nachgang zur Stellungnahme vom 4. März 2021 bis zum Vorliegen des entscheiderheblichen Beschlusses des Bezirksgerichts Bregenz das Verfahren sistieren müssen, was in der Folge voraussichtlich eine Abweisung des Gesuchs des Beschwerdegegners nach sich gezogen hätte.</w:t>
      </w:r>
    </w:p>
    <w:p>
      <w:r>
        <w:t>Damit zeigt er die Entscheidrelevanz der Ausführungen in seiner Stellungnahme vom 4. März 2021 nachvollziehbar auf. Ob sie inhaltlich berechtigt sind, muss nicht das Bundesgericht, sondern die Vorinstanz entscheiden. Das Bundesgericht kann die Gehörsverletzung angesichts der eingeschränkten Kognition im Verfahren der subsidiären Verfassungsbeschwerde nicht heilen (vgl. Urteil 2C_694/2012 vom 21. Dezember 2012 E. 3.6), weshalb die Sache an die Vorinstanz zurückzuweisen ist.</w:t>
      </w:r>
    </w:p>
    <w:p>
      <w:r>
        <w:rPr>
          <w:b/>
        </w:rPr>
        <w:t>E. 3</w:t>
      </w:r>
    </w:p>
    <w:p>
      <w:r>
        <w:t>Die Beschwerde ist im Eventualantrag gutzuheissen, der angefochtene Entscheid aufzuheben und die Sache zur neuen Entscheidung unter Berücksichtigung der Stellungnahme des Beschwerdeführers vom 4. März 2021 an die Vorinstanz zurückzuweisen. Allenfalls wird sie zuvor dem Beschwerdegegner Gelegenheit zur Antwort auf diese Stellungnahme einräumen bzw. diesbezüglich die Parteien gehörskonform anhören müssen.</w:t>
      </w:r>
    </w:p>
    <w:p>
      <w:r>
        <w:t>Bei diesem Ausgang des Verfahrens wird der Beschwerdegegner, der die Abweisung der Beschwerde beantragte,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