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4D_31/2019 vom 9. Juli 2019</w:t>
      </w:r>
    </w:p>
    <w:p>
      <w:r>
        <w:t>Bundesgericht, 2019-07-09, DE</w:t>
      </w:r>
    </w:p>
    <w:p>
      <w:r>
        <w:rPr>
          <w:b/>
        </w:rPr>
        <w:t xml:space="preserve">Quelle: </w:t>
      </w:r>
      <w:r>
        <w:t>https://mcp.opencaselaw.ch/entscheid/bger_4D_31_2019</w:t>
      </w:r>
    </w:p>
    <w:p>
      <w:r>
        <w:t>FR: TF 4D_31/2019 du 9 juillet 2019</w:t>
      </w:r>
    </w:p>
    <w:p>
      <w:r>
        <w:t>IT: TF 4D_31/2019 del 9 luglio 2019</w:t>
      </w:r>
    </w:p>
    <w:p>
      <w:pPr>
        <w:pStyle w:val="Heading2"/>
      </w:pPr>
      <w:r>
        <w:t>Erwägungen</w:t>
      </w:r>
    </w:p>
    <w:p>
      <w:r>
        <w:rPr>
          <w:b/>
        </w:rPr>
        <w:t>E. 1</w:t>
      </w:r>
    </w:p>
    <w:p>
      <w:r>
        <w:t>Am 11. April 2019 ging beim Obergericht des Kantons Zürich ein mit "Beschwerde" überschriebener Schriftsatz ein. Darin erklärte die Kollektivgesellschaft A.________ KIG (Beschwerdeführerin) Beschwerde gegen eine Verfügung des Bezirksgerichts Zürich vom 9. April 2019 im Verfahren FV190029. Die angefochtene Verfügung wurde allerdings weder beigelegt noch inhaltlich näher bezeichnet. Zudem stellte die Kollektivgesellschaft A.________ KIG ein Ablehnungsbegehren gegen eine Richterin des Bezirksgerichts. Mit Beschluss vom 25. April 2019 trat das Obergericht auf die Beschwerde nicht ein.</w:t>
      </w:r>
    </w:p>
    <w:p>
      <w:r>
        <w:t>Die A.________ KIG hat mit Eingabe an das Bundesgericht vom 27. Mai 2019 erklärt, den Beschluss des Obergerichts mit Beschwerde anzufechten, und um Erteilung der aufschiebenden Wirkung ersucht. Es wurden keine Vernehmlassungen eingeholt.</w:t>
      </w:r>
    </w:p>
    <w:p>
      <w:r>
        <w:rPr>
          <w:b/>
        </w:rPr>
        <w:t>E. 2</w:t>
      </w:r>
    </w:p>
    <w:p>
      <w:r>
        <w:t>Da der Streitwert nach der Feststellung der Vorinstanz den Mindestbetrag nach Art. 74 Abs. 1 BGG nicht erreicht, steht die subsidiäre Verfassungsbeschwerde offen (siehe Art. 113 BGG ).</w:t>
      </w:r>
    </w:p>
    <w:p>
      <w:r>
        <w:t>Mit der Verfassungsbeschwerde kann die Verletzung von verfassungsmässigen Rechten gerügt werden ( Art. 116 BGG ).</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w:t>
      </w:r>
    </w:p>
    <w:p>
      <w:r>
        <w:rPr>
          <w:b/>
        </w:rPr>
        <w:t>E. 3</w:t>
      </w:r>
    </w:p>
    <w:p>
      <w:r>
        <w:t>In der Eingabe vom 27. Mai 2019 werden keine Verfassungsrügen erhoben. Die Beschwerde enthält somit offensichtlich keine hinreichende Begründung, weshalb im vereinfachten Verfahren gemäss Art. 108 Abs. 1 lit. b BGG nicht auf sie einzutreten ist.</w:t>
      </w:r>
    </w:p>
    <w:p>
      <w:r>
        <w:t>Mit dem Entscheid in der Sache wird das Gesuch um Erteilung der aufschiebenden Wirkung gegenstandslos.</w:t>
      </w:r>
    </w:p>
    <w:p>
      <w:r>
        <w:rPr>
          <w:b/>
        </w:rPr>
        <w:t>E. 4</w:t>
      </w:r>
    </w:p>
    <w:p>
      <w:r>
        <w:t>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