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31/2018 vom 30. Juli 2018</w:t>
      </w:r>
    </w:p>
    <w:p>
      <w:r>
        <w:t>Bundesgericht, 2018-07-30, DE</w:t>
      </w:r>
    </w:p>
    <w:p>
      <w:r>
        <w:rPr>
          <w:b/>
        </w:rPr>
        <w:t xml:space="preserve">Quelle: </w:t>
      </w:r>
      <w:r>
        <w:t>https://mcp.opencaselaw.ch/entscheid/bger_4D_31_2018</w:t>
      </w:r>
    </w:p>
    <w:p>
      <w:r>
        <w:t>FR: TF 4D 31/2018 du 30 juillet 2018</w:t>
      </w:r>
    </w:p>
    <w:p>
      <w:r>
        <w:t>IT: TF 4D 31/2018 del 30 luglio 2018</w:t>
      </w:r>
    </w:p>
    <w:p>
      <w:pPr>
        <w:pStyle w:val="Heading2"/>
      </w:pPr>
      <w:r>
        <w:t>Regeste</w:t>
      </w:r>
    </w:p>
    <w:p>
      <w:r>
        <w:t>Forderung | Vertragsrecht</w:t>
      </w:r>
    </w:p>
    <w:p>
      <w:pPr>
        <w:pStyle w:val="Heading2"/>
      </w:pPr>
      <w:r>
        <w:t>Volltext</w:t>
      </w:r>
    </w:p>
    <w:p>
      <w:r>
        <w:t>Bundesgericht I. Zivilrechtliche Abteilung 30.07.2018 4D 31/2018 (4D_31/2018) Tribunal fédéral Ire Cour de droit civil 30.07.2018 4D 31/2018 (4D_31/2018) Tribunale federale I Corte di diritto civile 30.07.2018 4D 31/2018 (4D_31/2018)</w:t>
      </w:r>
    </w:p>
    <w:p>
      <w:r>
        <w:t>Forderung | Vertragsrecht</w:t>
      </w:r>
    </w:p>
    <w:p>
      <w:r>
        <w:t>Bundesgericht Tribunal fédéral Tribunale federale Tribunal federal 4D_31/2018 Urteil vom 30. Juli 2018 I. zivilrechtliche Abteilung Besetzung Bundesrichterin Kiss, Präsidentin, Gerichtsschreiber Brugger. Verfahrensbeteiligte A.________, Beschwerdeführer, gegen B.________, vertreten durch Rechtsanwalt Dr. Peter Reichart, Postfach, Kirchgasse 48, 8001 Zürich, Beschwerdegegnerin. Gegenstand Forderung, Beschwerde gegen das Urteil des Obergerichts des Kantons Zürich, I. Zivilkammer, vom 26. April 2018 (NP170037-O/U). In Erwägung, dass das Bezirksgericht Zürich mit Verfügung vom 23. November 2017auf die Klage des Beschwerdeführers nicht eintrat, da dieser den Kostenvorschuss für die Gerichtskosten auch innert Nachfrist nicht leistete, und ihm die Kosten- und Entschädigungsfolgen auferlegte; dass der Beschwerdeführer dagegen Berufung an das Obergericht des Kantons Zürich erhob; dass der Beschwerdeführer sodann mit separater Eingabe ein Ausstandsgesuch gegen Bezirksrichter lic. iur. Vogel stellte; dass das Obergericht mit Urteil vom 26. April 2018 die Berufung und das Ausstandsbegehren abwies; dass der Beschwerdeführer dagegen mit Eingabe vom 24. Mai 2018 subsidiäre Verfassungsbeschwerde an das Bundesgericht erhob; dass auf die Einholung von Vernehmlassungen zur Beschwerde verzichtet wurde; 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 dass das Bundesgericht seinem Entscheid den Sachverhalt zugrunde legt, den die Vorinstanz festgestellt hat ( Art. 118 Abs. 1 BGG ), und die Sachverhaltsfeststellung der Vorinstanz nur berichtigen oder ergänzen kann, wenn sie offensichtlich unrichtig, mithin willkürlich ist oder auf einer Rechtsverletzung im Sinne von Art. 116 BGG beruht und wenn die Behebung des Mangels für den Ausgang des Verfahrens entscheidend sein kann ( Art. 118 Abs. 2 BGG und Art. 97 Abs. 1 BGG ), was die beschwerdeführende Partei präzise geltend zu machen hat; dass die Eingabe des Beschwerdeführers diese Begründungsanforderungen offensichtlich nicht erfüllt, indem er darin zwar eine Verletzung seiner verfassungsmässigen Rechte nach Art. 7, Art. 8 und Art. 9 BV beklagt, ohne aber auf die Erwägungen der Vorinstanz hinreichend konkret einzugehen, geschweige denn rechtsgenüglich aufzuzeigen, inwiefern die Vorinstanz seine verfassungsmässigen Rechte verletzt haben soll; dass somit auf die Beschwerde mangels hinreichender Begründung nicht einzutreten ist ( Art. 108 Abs. 1 lit. b BGG ); 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Beschwerdeführer aufzuerlegen sind ( Art. 66 Abs. 1 BGG ); dass die Beschwerdegegnerin keinen Anspruch auf eine Parteientschädigung hat, da ihr aus dem bundesgerichtlichen Verfahren kein Aufwand erwachsen ist ( Art. 68 Abs. 2 BGG ); erkennt die Präsidentin: 1. Auf die Beschwerde wird nicht eingetreten. 2. Das Gesuch des Beschwerdeführers um unentgeltliche Rechtspflege für das bundesgerichtliche Verfahren wird abgewiesen. 3. Die Gerichtskosten von Fr. 200.-- werden dem Beschwerdeführer auferlegt. 4. Dieses Urteil wird den Parteien und dem Obergericht des Kantons Zürich, I. Zivilkammer, schriftlich mitgeteilt. Lausanne, 30. Juli 2018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