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4D_30/2023 vom 24. Mai 2023</w:t>
      </w:r>
    </w:p>
    <w:p>
      <w:r>
        <w:t>Bundesgericht, 2023-05-24, DE</w:t>
      </w:r>
    </w:p>
    <w:p>
      <w:r>
        <w:rPr>
          <w:b/>
        </w:rPr>
        <w:t xml:space="preserve">Quelle: </w:t>
      </w:r>
      <w:r>
        <w:t>https://mcp.opencaselaw.ch/entscheid/bger_4D_30_2023</w:t>
      </w:r>
    </w:p>
    <w:p>
      <w:r>
        <w:t>FR: TF 4D_30/2023 du 24 mai 2023</w:t>
      </w:r>
    </w:p>
    <w:p>
      <w:r>
        <w:t>IT: TF 4D_30/2023 del 24 maggio 2023</w:t>
      </w:r>
    </w:p>
    <w:p>
      <w:pPr>
        <w:pStyle w:val="Heading2"/>
      </w:pPr>
      <w:r>
        <w:t>Erwägungen</w:t>
      </w:r>
    </w:p>
    <w:p>
      <w:r>
        <w:rPr>
          <w:b/>
        </w:rPr>
        <w:t>E. 1</w:t>
      </w:r>
    </w:p>
    <w:p>
      <w:r>
        <w:t>Am 5. Oktober 2021 unterbreitete das Friedensrichteramt Uitikon den Parteien einen Urteilsvorschlag, wonach der Beschwerdeführer verpflichtet werde, der Beschwerdegegnerin Fr. 433.80 nebst Zins und Betreibungskosten zu bezahlen, wobei der Urteilsvorschlag als angenommen gelte und die Wirkungen eines rechtskräftigen Entscheids habe, wenn er nicht innert 20 Tagen seit Eröffnung abgelehnt werde.</w:t>
      </w:r>
    </w:p>
    <w:p>
      <w:r>
        <w:t>Mit Beschluss vom 23. März 2023 trat das Obergericht des Kantons Zürich auf eine vom Beschwerdeführer gegen den Urteilsvorschlag des Friedensrichteramts Uitikon vom 5. Oktober 2021 erhobene Beschwerde nicht ein.</w:t>
      </w:r>
    </w:p>
    <w:p>
      <w:r>
        <w:t>Mit Eingabe vom 4. Mai 2023 erklärte der Beschwerdeführer dem Bundesgericht, den Beschluss des Obergerichts des Kantons Zürich vom 23. März 2023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vom 4. Mai 2023 erfüllt die genannten Begründungsanforderungen offensichtlich nicht. Er zeigt nicht unter Bezugnahme auf die Erwägungen des angefochtenen Entscheids des Obergerichts des Kantons Zürich vom 23. März 2023 auf, inwiefern die Vorinstanz mit ihrem Nichteintretensentscheid verfassungsmässige Rechte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Mit dem Entscheid in der Sache wird das Gesuch um aufschiebende Wirkung gegenstandslos. Unter den gegebenen Umständen ist ausnahmsweise auf die Erhebung von Gerichtskosten zu verzichten (Art. 66 Abs. 1 zweiter Satz BGG). Die Beschwerdegegnerin hat keinen Anspruch auf eine Parteientschädigung,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