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4D_30/2019 vom 8. Juli 2019</w:t>
      </w:r>
    </w:p>
    <w:p>
      <w:r>
        <w:t>Bundesgericht, 2019-07-08, DE</w:t>
      </w:r>
    </w:p>
    <w:p>
      <w:r>
        <w:rPr>
          <w:b/>
        </w:rPr>
        <w:t xml:space="preserve">Quelle: </w:t>
      </w:r>
      <w:r>
        <w:t>https://mcp.opencaselaw.ch/entscheid/bger_4D_30_2019</w:t>
      </w:r>
    </w:p>
    <w:p>
      <w:r>
        <w:t>FR: TF 4D_30/2019 du 8 juillet 2019</w:t>
      </w:r>
    </w:p>
    <w:p>
      <w:r>
        <w:t>IT: TF 4D_30/2019 del 8 luglio 2019</w:t>
      </w:r>
    </w:p>
    <w:p>
      <w:pPr>
        <w:pStyle w:val="Heading2"/>
      </w:pPr>
      <w:r>
        <w:t>Erwägungen</w:t>
      </w:r>
    </w:p>
    <w:p>
      <w:r>
        <w:rPr>
          <w:b/>
        </w:rPr>
        <w:t>E. 1</w:t>
      </w:r>
    </w:p>
    <w:p>
      <w:r>
        <w:t>Mit Verfügung vom 15. April 2019 wies der Einzelrichter am Bezirksgericht Einsiedeln im Forderungsprozess zwischen A.________ (Beschwerdeführerin) und B.________ (Beschwerdegegner) ein Sistierungsbegehren von A.________ ab. Auf die von A.________ hiergegen erhobene Beschwerde trat das Kantonsgericht Schwyz mit Verfügung vom 18. April 2019 nicht ein.</w:t>
      </w:r>
    </w:p>
    <w:p>
      <w:r>
        <w:t>Mit Eingabe vom 22. Mai 2019 hat A.________ erklärt, diese Verfügung mit Beschwerde anzufechten. Es wurden keine Vernehmlassungen eingeholt.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in Verbindung mit Art. 117 BGG ).</w:t>
      </w:r>
    </w:p>
    <w:p>
      <w:r>
        <w:rPr>
          <w:b/>
        </w:rPr>
        <w:t>E. 3</w:t>
      </w:r>
    </w:p>
    <w:p>
      <w:r>
        <w:t>Die Vorinstanz begründete ihren Nichteintretensentscheid unter Hinweis auf Art. 319 lit. b Ziff. 2 ZPO damit, die Beschwerdeführerin nenne keinen (drohenden) nicht leicht wiedergutzumachenden Nachteil und ein solcher sei auch nicht ersichtlich. Auf diese entscheidende Erwägung der Vorinstanz geht die Beschwerdeführerin in ihrer Eingabe vom 22. Mai 2019 mit keinem Wort ein, indem sie mit konkreten Belegstellen auf die Vorakten aufzeigen würde, dass sie vor Vorinstanz einen nicht leicht wiedergutzumachenden Nachteil im Sinne von Art. 319 lit. b Ziff. 2 ZPO gelten gemacht hatte und ihre verfassungsmässigen Rechte verletzt worden wären. Die Beschwerde enthält somit offensichtlich keine hinreichende Begründung, weshalb im vereinfachten Verfahren gemäss Art. 108 Abs. 1 lit. b BGG nicht auf sie einzutreten ist.</w:t>
      </w:r>
    </w:p>
    <w:p>
      <w:r>
        <w:rPr>
          <w:b/>
        </w:rPr>
        <w:t>E. 4</w:t>
      </w:r>
    </w:p>
    <w:p>
      <w:r>
        <w:t>Ausnahmsweise wird auf die Erhebung von Gerichtskosten verzichtet (Art. 66 Abs. 1 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