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2/2020 vom 5. März 2020</w:t>
      </w:r>
    </w:p>
    <w:p>
      <w:r>
        <w:t>Bundesgericht, 2020-03-05, DE</w:t>
      </w:r>
    </w:p>
    <w:p>
      <w:r>
        <w:rPr>
          <w:b/>
        </w:rPr>
        <w:t xml:space="preserve">Quelle: </w:t>
      </w:r>
      <w:r>
        <w:t>https://mcp.opencaselaw.ch/entscheid/bger_4D_2_2020</w:t>
      </w:r>
    </w:p>
    <w:p>
      <w:r>
        <w:t>FR: TF 4D 2/2020 du 5 mars 2020</w:t>
      </w:r>
    </w:p>
    <w:p>
      <w:r>
        <w:t>IT: TF 4D 2/2020 del 5 marzo 2020</w:t>
      </w:r>
    </w:p>
    <w:p>
      <w:pPr>
        <w:pStyle w:val="Heading2"/>
      </w:pPr>
      <w:r>
        <w:t>Regeste</w:t>
      </w:r>
    </w:p>
    <w:p>
      <w:r>
        <w:t>Forderung | Vertragsrecht</w:t>
      </w:r>
    </w:p>
    <w:p>
      <w:pPr>
        <w:pStyle w:val="Heading2"/>
      </w:pPr>
      <w:r>
        <w:t>Erwägungen</w:t>
      </w:r>
    </w:p>
    <w:p>
      <w:r>
        <w:rPr>
          <w:b/>
        </w:rPr>
        <w:t>E. 1</w:t>
      </w:r>
    </w:p>
    <w:p>
      <w:r>
        <w:t>Der Einzelrichter am Kreisgericht Rheintal, 3. Abteilung, verurteilte die A.________ AG (Beklagte, Beschwerdeführerin) mit Entscheid vom 19. Oktober 2017, B.________ (Kläger, Beschwerdegegner) Fr. 16'528.40 nebst Zins zu 5 % seit 14. Mai 2016 zu bezahlen, und beseitigte in diesem Umfang den Rechtsvorschlag in der Betreibung Nr. xxx des Betreibungsamts Zug vom 11. Mai 2016. Die dagegen erhobene Berufung wies das Kantonsgericht St. Gallen mit Entscheid vom 3. Dezember 2019 ab. Die A.________ AG hat mit Eingabe vom 17. Januar 2020 subsidiäre Verfassungsbeschwerde gegen diesen Entscheid erhoben und um Erteilung der aufschiebenden Wirkung ersucht. Es wurden keine Vernehmlassungen eingeholt.</w:t>
      </w:r>
    </w:p>
    <w:p>
      <w:r>
        <w:rPr>
          <w:b/>
        </w:rPr>
        <w:t>E. 2.1</w:t>
      </w:r>
    </w:p>
    <w:p>
      <w:r>
        <w:t>Da der Streitwert nach der Feststellung der Vorinstanz den Mindestbetrag von Art. 74 Abs. 1 lit. a BGG nicht erreicht, steht die subsidiäre Verfassungsbeschwerde offen (siehe Art. 113 BGG ). Mit der Verfassungsbeschwerde kann die Verletzung von verfassungsmässigen Rechten gerügt werden ( Art. 116 BGG ). 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 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was die beschwerdeführende Partei mit einer genügenden Begründung geltend zu machen hat ( BGE 136 I 332 E. 2.2; 133 III 439 E. 3.2 S. 445 mit Hinweis). Soweit die beschwerdeführende Partei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 mit weiteren Hinweisen).</w:t>
      </w:r>
    </w:p>
    <w:p>
      <w:r>
        <w:rPr>
          <w:b/>
        </w:rPr>
        <w:t>E. 2.2</w:t>
      </w:r>
    </w:p>
    <w:p>
      <w:r>
        <w:t>Die Beschwerdeführerin erhebt keine hinreichend begründete Verfassungsrüge: Sie beklagt zwar einleitend pauschal eine Verletzung ihres Anspruchs auf rechtliches Gehör und eine "willkürliche Rechtsanwendung". In der Folge beschränkt sie sich aber darauf, dem Bundesgericht frei - und wiederholt in unzulässiger Ergänzung des Sachverhalts - ihre eigene Sicht der Ereignisse zu unterbreiten, zahlreiche Normen des allgemeinen Vertragsrechts sowie des Werkvertragsrechts aufzuzählen und zu monieren, dass sich der angefochtene Entscheid nicht mit dem Gesetz, den "SIA-Bestimmungen", dem zwischen den Parteien abgeschlossenen Kaufvertrag sowie dem "Reglement der Stockwerkeigentümergemeinschaft" vertrage. Sie unterlässt es, in einer den dargelegten (erhöhten) Begründungsanforderungen genügenden Weise darzulegen, in welcher Hinsicht verfassungsmässige Rechte verletzt sein sollen. Die Beschwerde enthält somit offensichtlich keine hinreichende Begründung, weshalb im vereinfachten Verfahren gemäss Art. 108 Abs. 1 lit. b BGG nicht auf sie einzutreten ist. Mit dem Entscheid in der Sache wird das Gesuch der Beschwerdeführerin um Erteilung der aufschiebenden Wirkung gegenstandslos.</w:t>
      </w:r>
    </w:p>
    <w:p>
      <w:r>
        <w:rPr>
          <w:b/>
        </w:rPr>
        <w:t>E. 3</w:t>
      </w:r>
    </w:p>
    <w:p>
      <w:r>
        <w:t>Die Gerichtskosten sind gemäss Art. 66 Abs. 1 BGG der Beschwerdeführerin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