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2/2008 vom 28. März 2008</w:t>
      </w:r>
    </w:p>
    <w:p>
      <w:r>
        <w:t>Bundesgericht, 2008-03-28, FR</w:t>
      </w:r>
    </w:p>
    <w:p>
      <w:r>
        <w:rPr>
          <w:b/>
        </w:rPr>
        <w:t xml:space="preserve">Quelle: </w:t>
      </w:r>
      <w:r>
        <w:t>https://mcp.opencaselaw.ch/entscheid/bger_4D_2_2008</w:t>
      </w:r>
    </w:p>
    <w:p>
      <w:r>
        <w:t>FR: TF 4D 2/2008 du 28 mars 2008</w:t>
      </w:r>
    </w:p>
    <w:p>
      <w:r>
        <w:t>IT: TF 4D 2/2008 del 28 marzo 2008</w:t>
      </w:r>
    </w:p>
    <w:p>
      <w:pPr>
        <w:pStyle w:val="Heading2"/>
      </w:pPr>
      <w:r>
        <w:t>Regeste</w:t>
      </w:r>
    </w:p>
    <w:p>
      <w:r>
        <w:t>mandat | Droit des contrats</w:t>
      </w:r>
    </w:p>
    <w:p>
      <w:pPr>
        <w:pStyle w:val="Heading2"/>
      </w:pPr>
      <w:r>
        <w:t>Erwägungen</w:t>
      </w:r>
    </w:p>
    <w:p>
      <w:r>
        <w:rPr>
          <w:b/>
        </w:rPr>
        <w:t>E. 1.1</w:t>
      </w:r>
    </w:p>
    <w:p>
      <w:r>
        <w:t>Le recours est dirigé contre un arrêt rendu en matière civile ( art. 72 al. 1 LTF ). La valeur litigieuse n'atteint pas le minimum légal de 30'000 fr. du recours ordinaire en matière civile (art. 51 al. 1 let. a et 74 al. 1 let. b LTF). La cause ne correspond en outre à aucun des cas de dispense prévus par la loi ( art. 74 al. 2 LTF ). Partant, elle n'est susceptible que du recours constitutionnel subsidiaire ( art. 113 ss LTF ), à l'exclusion du recours ordinaire. Le recours est dirigé contre une décision finale et de dernière instance cantonale (cf. les art. 75 al. 1 et 90 LTF , auxquels renvoient respectivement les art. 114 et 117 LTF ). Le recourant a pris part à l'instance précédente et il a succombé dans ses conclusions ( art. 115 LTF ). Déposé en temps utile compte tenu des féries (art. 45 al. 1, 46 al. 1 let. c et 100 al. 1 en liaison avec l' art. 117 LTF ) et dans les formes requises (art. 42 al. 1 à 3 LTF), le recours constitutionnel soumis à l'examen du Tribunal fédéral est en principe recevable.</w:t>
      </w:r>
    </w:p>
    <w:p>
      <w:r>
        <w:rPr>
          <w:b/>
        </w:rPr>
        <w:t>E. 1.2</w:t>
      </w:r>
    </w:p>
    <w:p>
      <w:r>
        <w:t>Le recours constitutionnel ne peut être exercé que pour violation des droits constitutionnels ( art. 116 LTF ). Le Tribunal fédéral ne se saisit que des griefs soulevés et motivés de façon détaillée par la partie recourante ( art. 106 al. 2 et 117 LTF ; ATF 133 III 439 consid. 3.2 p. 444). Il doit statuer sur la base des faits constatés dans la décision attaquée; il ne peut rectifier ou compléter que les constatations de fait auxquelles l'autorité précédente est parvenue en violation des droits constitutionnels ( art. 118 LTF ), pour autant que la partie recourante mette en évidence, dans le détail, les constatations prétendument viciées ( ATF 133 III 393 consid. 7.1 p. 398, 439 consid. 3.2 p. 445).</w:t>
      </w:r>
    </w:p>
    <w:p>
      <w:r>
        <w:rPr>
          <w:b/>
        </w:rPr>
        <w:t>E. 2</w:t>
      </w:r>
    </w:p>
    <w:p>
      <w:r>
        <w:t>Le recourant se plaint d'arbitraire dans l'appréciation des preuves et l'application du droit fédéral.</w:t>
      </w:r>
    </w:p>
    <w:p>
      <w:r>
        <w:rPr>
          <w:b/>
        </w:rPr>
        <w:t>E. 2.1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2.2</w:t>
      </w:r>
    </w:p>
    <w:p>
      <w:r>
        <w:t>Lorsque, comme en l'espèce, le pouvoir d'examen de l'autorité cantonale de dernière instance était limité à l'arbitraire, le Tribunal fédéral examine librement la manière dont celle-ci a fait usage de sa cognition restreinte, en recherchant si c'est à tort que cette autorité a nié l'arbitraire de l'appréciation critiquée. En effet, on ne saurait admettre une double limitation du pouvoir d'examen du Tribunal fédéral (« arbitraire au carré »; ATF 116 III 70 consid. 2b p. 71 s.; 112 Ia 350 consid. 1 p. 351). Cependant,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 ATF 112 Ia 166 consid. 3b p. 170).</w:t>
      </w:r>
    </w:p>
    <w:p>
      <w:r>
        <w:rPr>
          <w:b/>
        </w:rPr>
        <w:t>E. 2.3</w:t>
      </w:r>
    </w:p>
    <w:p>
      <w:r>
        <w:t>Le recourant soutient que les affirmations de la cour cantonale selon lesquelles d'une part il ne se serait jamais assuré que les membres du comité de l'intimée lui confiaient un mandat externe pour défendre les intérêts de l'association en sa qualité d'avocat et non en tant que président, alors que sa qualité d'avocat lui permettait d'être attentif à l'ambiguïté de la situation, d'autre part il n'aurait pas informé les membres du comité de l'avancement de la procédure, ni du contenu de son activité, seraient contredites par les faits et les pièces produites. A cet égard, il expose avoir transmis à l'intimée sur son papier à entête d'avocat copie de ses interventions auprès du conseil de l'ancien président de l'association; par ailleurs, dans une lettre du 9 avril 2004, il avait informé la Poste qu'il représentait les intérêts de l'association, laquelle déclarait faire élection de domicile en son Etude. D'emblée, il convient de relever que ce dernier élément ne ressort pas de l'état de fait constaté dans l'arrêt entrepris et que le recourant ne démontre pas en quoi la cour cantonale aurait arbitrairement omis d'en tenir compte. Peu importe, toutefois. En effet, que le recourant ait le cas échéant employé son papier à lettre professionnel et se soit signalé comme avocat à l'attention de tiers ne signifie pas encore que la cour cantonale devait obligatoirement en inférer qu'il revêtait également cette qualité vis-à-vis de l'intimée, qui lui aurait spécifiquement confié un mandat d'avocat. Au contraire, il a en particulier été retenu qu'il était d'usage que chaque membre du comité agisse à titre bénévole dans le domaine de ses compétences particulières. Les éléments soulevés par le recourant ne font ainsi nullement apparaître en quoi la cour cantonale aurait commis arbitraire en considérant, à l'issue de l'appréciation de l'ensemble des preuves en présence, qu'il n'était pas établi que l'intimée ait confié un mandat d'avocat au recourant, dont l'intervention dans le dossier concernant l'ancien président de l'intimée s'inscrivait au contraire dans le cadre de ses fonctions présidentielles.</w:t>
      </w:r>
    </w:p>
    <w:p>
      <w:r>
        <w:rPr>
          <w:b/>
        </w:rPr>
        <w:t>E. 2.4</w:t>
      </w:r>
    </w:p>
    <w:p>
      <w:r>
        <w:t>Le recourant fait grief à la cour cantonale d'avoir violé de manière arbitraire l' art. 8 CC . Il estime qu'il appartenait à l'intimée d'apporter la preuve du caractère gratuit du mandat qui lui avait été confié. Aux termes de l' art. 394 al. 3 CO , une rémunération est due au mandataire si la convention ou l'usage lui en assure une. Le fardeau de la preuve d'un accord sur une rémunération incombe à la partie qui s'en prévaut ( art. 8 CC ; cf. ATF 127 III 519 consid. 2a p. 522). Lorsque les parties n'ont pas passé d'accord à ce sujet, l'usage veut que des services fournis à titre professionnel soient rémunérés (cf. ATF 82 IV 145 consid. 2a p. 147; plus récemment arrêt 4C.158/2001 du 15 octobre 2001, reproduit in SJ 2002 I p. 204, consid. 1b p. 206). C'est alors au mandant qui conteste le caractère onéreux du mandat de prouver que les services rendus l'ont été à titre gratuit (Werro, Commentaire romand, n. 40 ad art. 394 CO ). En l'occurrence, la cour cantonale a acquis la conviction, à l'issue d'une appréciation des preuves qui n'a pas été taxée d'arbitraire, que le recourant n'avait pas oeuvré dans le cadre de son activité spécifique d'avocat, mais dans celui de ses fonctions présidentielles. Il en résulte que le recourant n'est pas intervenu à titre professionnel, de sorte que la présomption selon laquelle la fourniture de services professionnel revêt un caractère onéreux n'entrait purement et simplement pas en ligne de compte. Reposant sur une prémisse erronée, l'argumentation du recourant selon laquelle l'intimée n'aurait pas rapporté la preuve du caractère gratuit du mandat est ainsi dénuée de fondement. Cela étant, c'est bien au recourant qu'il incombait de prouver l'existence d'une convention de rémunération. Or, à l'issue de l'appréciation des preuves, les juges cantonaux ont considéré qu'il avait échoué à le faire. A cet égard, le recourant souligne en vain que lors d'une séance de comité, un membre avait relevé qu'il devrait être rétribué pour cette activité et que cette remarque n'avait suscité aucune réaction, ce qui signifierait selon lui à l'évidence que les autres membres approuvaient le principe d'une rémunération. En effet, le silence des membres du comité ne saurait être interprété comme valant accord avec une indemnisation, dès lors qu'il a au contraire été établi qu'une rémunération ou indemnisation n'était offerte qu'exceptionnellement et sur décision spécifique du comité. Pour le surplus, on rappellera qu'il était d'usage que chaque membre du comité agisse à titre bénévole dans le domaine de ses compétences particulières.</w:t>
      </w:r>
    </w:p>
    <w:p>
      <w:r>
        <w:rPr>
          <w:b/>
        </w:rPr>
        <w:t>E. 2.5</w:t>
      </w:r>
    </w:p>
    <w:p>
      <w:r>
        <w:t>Il résulte des considérants qui précèdent que le recours doit être rejeté.</w:t>
      </w:r>
    </w:p>
    <w:p>
      <w:r>
        <w:rPr>
          <w:b/>
        </w:rPr>
        <w:t>E. 3</w:t>
      </w:r>
    </w:p>
    <w:p>
      <w:r>
        <w:t>Compte tenu de l'issue du litige, les frais judiciaires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