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29/2023 vom 17. Mai 2023</w:t>
      </w:r>
    </w:p>
    <w:p>
      <w:r>
        <w:t>Bundesgericht, 2023-05-17, DE</w:t>
      </w:r>
    </w:p>
    <w:p>
      <w:r>
        <w:rPr>
          <w:b/>
        </w:rPr>
        <w:t xml:space="preserve">Quelle: </w:t>
      </w:r>
      <w:r>
        <w:t>https://mcp.opencaselaw.ch/entscheid/bger_4D_29_2023</w:t>
      </w:r>
    </w:p>
    <w:p>
      <w:r>
        <w:t>FR: TF 4D 29/2023 du 17 mai 2023</w:t>
      </w:r>
    </w:p>
    <w:p>
      <w:r>
        <w:t>IT: TF 4D 29/2023 del 17 maggio 2023</w:t>
      </w:r>
    </w:p>
    <w:p>
      <w:pPr>
        <w:pStyle w:val="Heading2"/>
      </w:pPr>
      <w:r>
        <w:t>Regeste</w:t>
      </w:r>
    </w:p>
    <w:p>
      <w:r>
        <w:t>Mieterausweisung, | Vertragsrecht</w:t>
      </w:r>
    </w:p>
    <w:p>
      <w:pPr>
        <w:pStyle w:val="Heading2"/>
      </w:pPr>
      <w:r>
        <w:t>Erwägungen</w:t>
      </w:r>
    </w:p>
    <w:p>
      <w:r>
        <w:rPr>
          <w:b/>
        </w:rPr>
        <w:t>E. 1</w:t>
      </w:r>
    </w:p>
    <w:p>
      <w:r>
        <w:t>Mit Urteil vom 6. Februar 2023 verpflichtete das Bezirksgericht Winterthur die Beschwerdeführer, die 3.5-Zimmer-Wohnung im Erdgeschoss rechts in V.________ samt zugehörigem Kellerabteil und dem Autoeinstellplatz Nr. xxx unverzüglich zu räumen und der Beschwerdegegnerin ordnungsgemäss und gereinigt zu übergeben, unter Androhung von Zwangsvollstreckung im Unterlassungsfall. Mit Urteil vom 24. März 2023 hiess das Obergericht des Kantons Zürich die von den Beschwerdeführern gegen den bezirksgerichtlichen Entscheid vom 6. Februar 2023 erhobene Berufung teilweise gut und hob Dispositiv-Ziffer 4 des angefochtenen Urteils (Entscheidgebühr von Fr. 2'900.-- zulasten der Beschwerdeführer) auf; im Übrigen wies das Obergericht die Berufung ab und bestätigte den angefochtenen Entscheid. Mit Eingabe vom 2. Mai 2023 erklärten die Beschwerdeführer dem Bundesgericht, den Entscheid des Obergerichts des Kantons Zürich vom 24. März 2023 mit Beschwerde anfechten zu wollen. Mit Verfügung vom 5. Mai 2023 wurde das Gesuch der Beschwerdeführer um Gewährung der aufschiebenden Wirkung abgewiesen.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 Die Beschwerdeführer behaupten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2.4</w:t>
      </w:r>
    </w:p>
    <w:p>
      <w:r>
        <w:t>Die Eingabe der Beschwerdeführer vom 2. Mai 2023 erfüllt die genannten Begründungsanforderungen offensichtlich nicht. Sie zeigen nicht unter Bezugnahme auf die Erwägungen des angefochtenen Entscheids des Obergerichts des Kantons Zürich vom 24. März 2023 auf, inwiefern die Vorinstanz mit ihrem Entscheid verfassungsmässige Rechte verletzt hätte, sondern unterbreiten dem Bundesgericht in unzulässiger Weise ihre eigene Sicht der Dinge. Auf die Beschwerde ist somit mangels hinreichender Begründung nicht einzutreten ( Art. 108 Abs. 1 lit. b BGG ).</w:t>
      </w:r>
    </w:p>
    <w:p>
      <w:r>
        <w:rPr>
          <w:b/>
        </w:rPr>
        <w:t>E. 3</w:t>
      </w:r>
    </w:p>
    <w:p>
      <w:r>
        <w:t>Unter den gegebenen Umständen ist für das bundesgerichtliche Verfahren ausnahmsweise auf die Erhebung von Gerichtskosten zu verzichten (Art. 66 Abs. 1 zweiter Satz BGG).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