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29/2022 vom 29. Juni 2022</w:t>
      </w:r>
    </w:p>
    <w:p>
      <w:r>
        <w:t>Bundesgericht, 2022-06-29, DE</w:t>
      </w:r>
    </w:p>
    <w:p>
      <w:r>
        <w:rPr>
          <w:b/>
        </w:rPr>
        <w:t xml:space="preserve">Quelle: </w:t>
      </w:r>
      <w:r>
        <w:t>https://mcp.opencaselaw.ch/entscheid/bger_4D_29_2022</w:t>
      </w:r>
    </w:p>
    <w:p>
      <w:r>
        <w:t>FR: TF 4D 29/2022 du 29 juin 2022</w:t>
      </w:r>
    </w:p>
    <w:p>
      <w:r>
        <w:t>IT: TF 4D 29/2022 del 29 giugno 2022</w:t>
      </w:r>
    </w:p>
    <w:p>
      <w:pPr>
        <w:pStyle w:val="Heading2"/>
      </w:pPr>
      <w:r>
        <w:t>Regeste</w:t>
      </w:r>
    </w:p>
    <w:p>
      <w:r>
        <w:t>Forderung; Kostenvorschuss, | Vertragsrecht</w:t>
      </w:r>
    </w:p>
    <w:p>
      <w:pPr>
        <w:pStyle w:val="Heading2"/>
      </w:pPr>
      <w:r>
        <w:t>Erwägungen</w:t>
      </w:r>
    </w:p>
    <w:p>
      <w:r>
        <w:rPr>
          <w:b/>
        </w:rPr>
        <w:t>E. 1</w:t>
      </w:r>
    </w:p>
    <w:p>
      <w:r>
        <w:t>Mit Verfügung vom 27. August 2021 wies das Bezirksgericht Bülach in einem gegen den Beschwerdeführer angestrengten Forderungsprozess dessen Gesuch um Gewährung der unentgeltlichen Rechtspflege ab und setzte ihm Frist an, für die mutmasslichen Gerichtskosten im Zusammenhang mit der erhobenen Widerklage einen Kostenvorschuss von Fr. 810.-- zu leisten. Mit Beschluss vom 30. November 2021 trat das Obergericht des Kantons Zürich auf eine vom Beschwerdeführer gegen die bezirksgerichtliche Verfügung vom 27. August 2021 erhobene Beschwerde infolge unzureichender Begründung des Rechtsmittels nicht ein. Mit Urteil 4D_8/2022 vom 2. Februar 2022 trat das Bundesgericht auf eine vom Beschwerdeführer gegen den obergerichtlichen Beschluss vom 30. November 2021 erhobene Beschwerde nicht ein. Mit Verfügung vom 17. Februar 2022 erstreckte das Bezirksgericht Bülach dem Beschwerdeführer die mit Verfügung vom 27. August 2021 angesetzte Frist zur Leistung des Kostenvorschusses. Nachdem er den Vorschuss innert der erstreckten Frist nicht geleistet hatte, setzte ihm das Bezirksgericht mit Verfügung vom 21. März 2022 eine letzte Nachfrist an. Mit Urteil vom 18. Mai 2022 wies das Obergericht des Kantons Zürich eine vom Beschwerdeführer gegen die bezirksgerichtliche Verfügung vom 21. März 2022 erhobene Beschwerde ab, soweit es darauf eintrat. Mit Eingabe vom 27. Juni 2022 erklärte der Beschwerdeführer dem Bundesgericht, das Urteil des Obergerichts des Kantons Zürich vom 18. Mai 2022 mit Beschwerde anfechten zu wollen. 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 Der Beschwerdeführer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w:t>
      </w:r>
    </w:p>
    <w:p>
      <w:r>
        <w:t>Der Beschwerdeführer setzt sich nicht hinreichend mit den Erwägungen des angefochtenen Entscheids des Obergerichts des Kantons Zürich vom 18. Mai 2022 auseinander und zeigt nicht auf, inwiefern die Vorinstanz mit ihrem Entscheid verfassungsmässige Rechte verletzt hätte. Die Eingabe vom 27. Juni 2022 erfüllt damit die erwähnten Begründungsanforderungen offensichtlich nicht. Auf die Beschwerde ist somit bereits mangels hinreichender Begründung nicht einzutreten ( Art. 108 Abs. 1 lit. b BGG ).</w:t>
      </w:r>
    </w:p>
    <w:p>
      <w:r>
        <w:rPr>
          <w:b/>
        </w:rPr>
        <w:t>E. 4</w:t>
      </w:r>
    </w:p>
    <w:p>
      <w:r>
        <w:t>Das Gesuch um unentgeltliche Rechtspflege samt Rechtsbeistand für das bundesgerichtliche Verfahren ist bereits wegen Aussichtslosigkeit der Beschwerde abzuweisen ( Art. 64 Abs. 1 BGG ). Unter den gegebenen Umständen ist jedoch ausnahmsweise auf die Erhebung von Gerichtskosten zu verzichten (Art. 66 Abs. 1 zweiter Satz BGG). Dem Beschwerdegegner steht keine Parteientschädigung zu ( Art. 68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