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4D_29/2021 vom 26. Mai 2021</w:t>
      </w:r>
    </w:p>
    <w:p>
      <w:r>
        <w:t>Bundesgericht, 2021-05-26, DE</w:t>
      </w:r>
    </w:p>
    <w:p>
      <w:r>
        <w:rPr>
          <w:b/>
        </w:rPr>
        <w:t xml:space="preserve">Quelle: </w:t>
      </w:r>
      <w:r>
        <w:t>https://mcp.opencaselaw.ch/entscheid/bger_4D_29_2021</w:t>
      </w:r>
    </w:p>
    <w:p>
      <w:r>
        <w:t>FR: TF 4D_29/2021 du 26 mai 2021</w:t>
      </w:r>
    </w:p>
    <w:p>
      <w:r>
        <w:t>IT: TF 4D_29/2021 del 26 maggio 2021</w:t>
      </w:r>
    </w:p>
    <w:p>
      <w:pPr>
        <w:pStyle w:val="Heading2"/>
      </w:pPr>
      <w:r>
        <w:t>Erwägungen</w:t>
      </w:r>
    </w:p>
    <w:p>
      <w:r>
        <w:rPr>
          <w:b/>
        </w:rPr>
        <w:t>E. 1</w:t>
      </w:r>
    </w:p>
    <w:p>
      <w:r>
        <w:t>Am 19. November 2020 reichte die Beschwerdegegnerin dem Friedensrichteramt Oberengstringen ein Schlichtungsgesuch ein und beantragte, es sei die Beschwerdeführerin zu verpflichten, der Beschwerdegegnerin zedierte offene Forderungen der C.________ AG in der Höhe von Fr. 1'653.70 plus Zinsen und Kosten zu bezahlen, und es sei aufgrund des Streitwerts ein Entscheid nach Art. 212 ZPO zu erlassen.</w:t>
      </w:r>
    </w:p>
    <w:p>
      <w:r>
        <w:t>Mit Urteil vom 5. Januar 2021 verpflichtete das Friedensrichteramt die Beschwerdeführerin in Gutheissung der Klage, der Beschwerdegegnerin Fr. 1'653.70 nebst Zins, Fr. 45.35 an angelaufenen Zinsen, Fr. 285.-- Bearbeitungsgebühr und Fr. 30.-- Kundenkosten zu bezahlen.</w:t>
      </w:r>
    </w:p>
    <w:p>
      <w:r>
        <w:t>Mit Urteil vom 25. März 2021 wies das Obergericht des Kantons Zürich die von der Beschwerdeführerin gegen das Urteil des Friedensrichteramts Oberengstringen vom 5. Januar 2021 erhobene Beschwerde ab.</w:t>
      </w:r>
    </w:p>
    <w:p>
      <w:r>
        <w:t>Mit Eingabe vom 29. April 2021 erklärte die Beschwerdeführerin dem Bundesgericht, das Urteil des Obergerichts des Kantons Zürich vom 25. März 2021 mit Beschwerde anfechten zu wollen. Am 4. Mai 2021 reichte sie dem Bundesgericht verschiedene Beilagen samt Beilagenverzeichnis ein.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3.1</w:t>
      </w:r>
    </w:p>
    <w:p>
      <w:r>
        <w:t>Die Beschwerde an das Bundesgericht ist nur gegen Entscheide letzter kantonaler Instanzen zulässig (Art. 75 Abs. 1 i.V.m. Art. 114 BGG ). Auf die Beschwerden ist daher von vornherein nicht einzutreten, soweit die Beschwerdeführerin darin unmittelbar das Urteil des Friedensrichteramts kritisiert, da es sich dabei nicht um einen letztinstanzlichen Entscheid im Sinne von Art. 75 Abs. 1 BGG handelt.</w:t>
      </w:r>
    </w:p>
    <w:p>
      <w:r>
        <w:rPr>
          <w:b/>
        </w:rPr>
        <w:t>E. 3.2</w:t>
      </w:r>
    </w:p>
    <w:p>
      <w:r>
        <w:t>Die Eingaben der Beschwerdeführerin erfüllen die genannten Begründungsanforderungen offensichtlich nicht. Sie setzt sich nicht hinreichend mit den Erwägungen des angefochtenen Entscheids des Obergerichts des Kantons Zürich vom 25. März 2021 auseinander und zeigt auf, inwiefern der Vorinstanz eine Verletzung verfassungsmässiger Rechte vorzuwerfen wäre. Sie erwähnt zwar den Anspruch auf rechtliches Gehör ( Art. 29 Abs. 2 BV ), begründet jedoch nicht hinreichend, inwiefern die Vorinstanz diese Bestimmung verletzt haben soll, sondern legt dem Bundesgericht in frei gehaltenen Ausführungen ihre Sicht der Dinge zum Ablauf des erstinstanzlichen Verfahrens, zum Hintergrund des Rechtsstreits sowie zu den Substanziierungsanforderungen dar.</w:t>
      </w:r>
    </w:p>
    <w:p>
      <w:r>
        <w:t>Auf die Beschwerde ist somit mangels hinreichender Begründung nicht einzutreten ( Art. 108 Abs. 1 lit. b BGG ).</w:t>
      </w:r>
    </w:p>
    <w:p>
      <w:r>
        <w:rPr>
          <w:b/>
        </w:rPr>
        <w:t>E. 4</w:t>
      </w:r>
    </w:p>
    <w:p>
      <w:r>
        <w:t>Die Beschwerdeführerin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