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4D_29/2019 vom 4. Juni 2019</w:t>
      </w:r>
    </w:p>
    <w:p>
      <w:r>
        <w:t>Bundesgericht, 2019-06-04, FR</w:t>
      </w:r>
    </w:p>
    <w:p>
      <w:r>
        <w:rPr>
          <w:b/>
        </w:rPr>
        <w:t xml:space="preserve">Quelle: </w:t>
      </w:r>
      <w:r>
        <w:t>https://mcp.opencaselaw.ch/entscheid/bger_4D_29_2019</w:t>
      </w:r>
    </w:p>
    <w:p>
      <w:r>
        <w:t>FR: TF 4D_29/2019 du 4 juin 2019</w:t>
      </w:r>
    </w:p>
    <w:p>
      <w:r>
        <w:t>IT: TF 4D_29/2019 del 4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4D_29/2019</w:t>
      </w:r>
    </w:p>
    <w:p>
      <w:r>
        <w:t>Arrêt du 4 juin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Malika Turki,</w:t>
      </w:r>
    </w:p>
    <w:p>
      <w:r>
        <w:t>intimée.</w:t>
      </w:r>
    </w:p>
    <w:p>
      <w:r>
        <w:t>Objet</w:t>
      </w:r>
    </w:p>
    <w:p>
      <w:r>
        <w:t>Procédure civile; récusation</w:t>
      </w:r>
    </w:p>
    <w:p>
      <w:r>
        <w:t>recours contre l'arrêt rendu le 4 février 2019 par la Cour administrative du Tribunal cantonal du canton de Vaud</w:t>
      </w:r>
    </w:p>
    <w:p>
      <w:r>
        <w:t>(JI25.055657-190076 6).</w:t>
      </w:r>
    </w:p>
    <w:p>
      <w:r>
        <w:t>Considérant :</w:t>
      </w:r>
    </w:p>
    <w:p>
      <w:r>
        <w:t>Qu'une contestation civile est pendante devant le Tribunal d'arrondissement de Lausanne entre A.________, demandeur, et X.________, défendeur;</w:t>
      </w:r>
    </w:p>
    <w:p>
      <w:r>
        <w:t>Que celui-ci a introduit une action reconventionnelle;</w:t>
      </w:r>
    </w:p>
    <w:p>
      <w:r>
        <w:t>Que la cause est instruite par la juge Malika Turki, Présidente du Tribunal d'arrondissement;</w:t>
      </w:r>
    </w:p>
    <w:p>
      <w:r>
        <w:t>Que le défendeur a demandé sa récusation en raison d'une attitude prétendument partiale;</w:t>
      </w:r>
    </w:p>
    <w:p>
      <w:r>
        <w:t>Que le tribunal a rejeté ses requêtes par jugement du 13 novembre 2018;</w:t>
      </w:r>
    </w:p>
    <w:p>
      <w:r>
        <w:t>Que la Cour administrative du Tribunal cantonal a statué le 4 février 2019 sur le recours du défendeur;</w:t>
      </w:r>
    </w:p>
    <w:p>
      <w:r>
        <w:t>Qu'elle a rejeté ce recours et confirmé le jugement;</w:t>
      </w:r>
    </w:p>
    <w:p>
      <w:r>
        <w:t>Que contre ce prononcé, le défendeur exerce le recours en matière civile et le recours constitutionnel auprès du Tribunal fédéral;</w:t>
      </w:r>
    </w:p>
    <w:p>
      <w:r>
        <w:t>Qu'à teneur de l' art. 42 al. 1 et 2 LTF , le recours adressé au Tribunal fédéral doit être motivé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le défendeur ne tente aucune réfutation des motifs qui ont déterminé la Cour administrative à rejeter son recours;</w:t>
      </w:r>
    </w:p>
    <w:p>
      <w:r>
        <w:t>Qu'il se borne à simplement répéter les très sévères critiques qu'il élève contre la juge Malika Turki;</w:t>
      </w:r>
    </w:p>
    <w:p>
      <w:r>
        <w:t>Que les recours sont en conséquence irrecevables au regard de l' art. 42 al. 1 et 2 LTF ;</w:t>
      </w:r>
    </w:p>
    <w:p>
      <w:r>
        <w:t>Que le Tribunal fédéral n'est pas compétent pour ordonner la transmission de documents réclamés au Tribunal d'arrondissement;</w:t>
      </w:r>
    </w:p>
    <w:p>
      <w:r>
        <w:t>Que la requête présentée à cette fin par le demandeur, datée du 2 mai 2019, ne recevra par conséquent aucune suite;</w:t>
      </w:r>
    </w:p>
    <w:p>
      <w:r>
        <w:t>Que le demandeur doit assumer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Les recours sont irrecevables.</w:t>
      </w:r>
    </w:p>
    <w:p>
      <w:r>
        <w:t>2.</w:t>
      </w:r>
    </w:p>
    <w:p>
      <w:r>
        <w:t>Le recourant acquittera un émolument judiciaire de 500 francs.</w:t>
      </w:r>
    </w:p>
    <w:p>
      <w:r>
        <w:t>3.</w:t>
      </w:r>
    </w:p>
    <w:p>
      <w:r>
        <w:t>Le présent arrêt est communiqué aux parties, à A.________, représenté par Me..., à Lausanne, et à la Cour administrative du Tribunal cantonal du canton de Vaud.</w:t>
      </w:r>
    </w:p>
    <w:p>
      <w:r>
        <w:t>Lausanne, le 4 juin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