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4D_28/2025 vom 13. März 2025</w:t>
      </w:r>
    </w:p>
    <w:p>
      <w:r>
        <w:t>Bundesgericht, 2025-03-13, FR</w:t>
      </w:r>
    </w:p>
    <w:p>
      <w:r>
        <w:rPr>
          <w:b/>
        </w:rPr>
        <w:t xml:space="preserve">Quelle: </w:t>
      </w:r>
      <w:r>
        <w:t>https://mcp.opencaselaw.ch/entscheid/bger_4D_28_2025</w:t>
      </w:r>
    </w:p>
    <w:p>
      <w:r>
        <w:t>FR: TF 4D_28/2025 du 13 mars 2025</w:t>
      </w:r>
    </w:p>
    <w:p>
      <w:r>
        <w:t>IT: TF 4D_28/2025 del 13 marzo 2025</w:t>
      </w:r>
    </w:p>
    <w:p>
      <w:pPr>
        <w:pStyle w:val="Heading2"/>
      </w:pPr>
      <w:r>
        <w:t>Erwägungen</w:t>
      </w:r>
    </w:p>
    <w:p>
      <w:r>
        <w:rPr>
          <w:b/>
        </w:rPr>
        <w:t>E. 1</w:t>
      </w:r>
    </w:p>
    <w:p>
      <w:r>
        <w:t>Par décision du 2 février 2024, le Juge de paix du district de Nyon a prononcé la mainlevée définitive de l'opposition qu'avait formée A.________ (ci-après: le poursuivi ou le recourant) au commandement de payer que lui avait fait notifier l'État de Vaud, représenté par le Bureau de recouvrement et d'avances de pensions alimentaires (BRAPA) (ci-après: le poursuivant ou l'intimé), dans la poursuite n</w:t>
      </w:r>
    </w:p>
    <w:p>
      <w:r>
        <w:t>o xxx de l'Office des poursuites du district de Nyon.</w:t>
      </w:r>
    </w:p>
    <w:p>
      <w:r>
        <w:t>Par arrêt du 30 décembre 2024, la Cour des poursuites et faillites du Tribunal cantonal du canton de Vaud a déclaré irrecevable le recours qu'avait déposé le poursuivi contre ladite décision.</w:t>
      </w:r>
    </w:p>
    <w:p>
      <w:r>
        <w:rPr>
          <w:b/>
        </w:rPr>
        <w:t>E. 2</w:t>
      </w:r>
    </w:p>
    <w:p>
      <w:r>
        <w:t>Contre cet arrêt, le poursuivi a formé auprès du Tribunal fédéral un recours dont il ressort qu'il s'oppose à la mainlevée de l'opposition litigieuse.</w:t>
      </w:r>
    </w:p>
    <w:p>
      <w:r>
        <w:t>Par ailleurs, le recourant conclut notamment à ce que "toute tentative" de l'intimé à son encontre soit "suspend[ue]", à ce que "le calcul" soit "rev[u]" et, en substance, à ce que B.________ soit condamnée à lui verser divers montants. Dans la mesure notamment où seule la question de la mainlevée de l'opposition a fait l'objet de la procédure cantonale, ces conclusions sont nouvelles et, partant, irrecevables ( art. 99 al. 2 LTF ).</w:t>
      </w:r>
    </w:p>
    <w:p>
      <w:r>
        <w:rPr>
          <w:b/>
        </w:rPr>
        <w:t>E. 3</w:t>
      </w:r>
    </w:p>
    <w:p>
      <w:r>
        <w:t>Le recourant sollicite, en substance, une audience auprès du Tribunal fédéral.</w:t>
      </w:r>
    </w:p>
    <w:p>
      <w:r>
        <w:t>Dans la mesure où, à juste titre, le recourant ne soutient ni ne prétend qu'il aurait un droit à la tenue de débats et où ceux-ci ne sont en l'espèce pas nécessaires ( art. 57 LTF ), il ne sera pas fait droit à la requête du recourant.</w:t>
      </w:r>
    </w:p>
    <w:p>
      <w:r>
        <w:rPr>
          <w:b/>
        </w:rPr>
        <w:t>E. 4.1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4.2</w:t>
      </w:r>
    </w:p>
    <w:p>
      <w:r>
        <w:t>Étant donné que l'arrêt attaqué indique que la valeur litigieuse s'élève à 19'250 fr. et que le recourant ne conteste pas cette indication,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5), il est superflu de vérifier les autres conditions de recevabilité.</w:t>
      </w:r>
    </w:p>
    <w:p>
      <w:r>
        <w:rPr>
          <w:b/>
        </w:rPr>
        <w:t>E. 5.1.1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5.2</w:t>
      </w:r>
    </w:p>
    <w:p>
      <w:r>
        <w:t>La cour cantonale a retenu (1) qu'en invoquant des faits qui n'auraient pas été constatés par le premier juge sans toutefois se plaindre d'une omission arbitraire de ces faits ( art. 320 let. b CPC ), le poursuivi n'avait pas motivé son recours cantonal de manière conforme aux exigences posées par la loi et par la jurisprudence en la matière, (2) qu'il n'appartient pas au juge de la mainlevée de revoir le bien-fondé de la décision constatant la créance en poursuite et (3) que les faits invoqués par le poursuivi étaient nouveaux et donc irrecevables ( art. 326 al. 1 CPC ). Elle a donc jugé que ledit recours était irrecevable.</w:t>
      </w:r>
    </w:p>
    <w:p>
      <w:r>
        <w:rPr>
          <w:b/>
        </w:rPr>
        <w:t>E. 5.3</w:t>
      </w:r>
    </w:p>
    <w:p>
      <w:r>
        <w:t>Le recourant invoque, en substance, qu'il hébergeait l'un de ses enfants tandis que l'autre logeait chez sa mère, de sorte qu'il n'y avait selon lui pas de raison à ce qu'il continuât à verser à celle-ci des contributions d'entretien.</w:t>
      </w:r>
    </w:p>
    <w:p>
      <w:r>
        <w:rPr>
          <w:b/>
        </w:rPr>
        <w:t>E. 5.4</w:t>
      </w:r>
    </w:p>
    <w:p>
      <w:r>
        <w:t>Le recourant se fonde sur des faits qui n'ont pas été constatés par la cour cantonale et dont il ne sollicite pas valablement le complètement, de sorte que la Cour de céans ne saurait tenir compte de ces éléments (cf.</w:t>
      </w:r>
    </w:p>
    <w:p>
      <w:r>
        <w:t>supra consid. 5.1.2).</w:t>
      </w:r>
    </w:p>
    <w:p>
      <w:r>
        <w:t>Il n'établit en outre pas que les faits qu'il a invoqués devant la cour cantonale auraient été recevables. Il ne démontre pas non plus, références précises à l'appui, qu'il aurait valablement remis en cause la motivation de la décision de première instance dans son recours cantonal et que la cour cantonale aurait arbitrairement appliqué les art. 320 let. b, 321 et 326 al. 1 CPC , de sorte que son recours est irrecevable (cf.</w:t>
      </w:r>
    </w:p>
    <w:p>
      <w:r>
        <w:t>supra consid. 5.1.3),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6</w:t>
      </w:r>
    </w:p>
    <w:p>
      <w:r>
        <w:t>Le recourant,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