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28/2022 vom 1. Juli 2022</w:t>
      </w:r>
    </w:p>
    <w:p>
      <w:r>
        <w:t>Bundesgericht, 2022-07-01, DE</w:t>
      </w:r>
    </w:p>
    <w:p>
      <w:r>
        <w:rPr>
          <w:b/>
        </w:rPr>
        <w:t xml:space="preserve">Quelle: </w:t>
      </w:r>
      <w:r>
        <w:t>https://mcp.opencaselaw.ch/entscheid/bger_4D_28_2022</w:t>
      </w:r>
    </w:p>
    <w:p>
      <w:r>
        <w:t>FR: TF 4D 28/2022 du 1 juillet 2022</w:t>
      </w:r>
    </w:p>
    <w:p>
      <w:r>
        <w:t>IT: TF 4D 28/2022 del 1 luglio 2022</w:t>
      </w:r>
    </w:p>
    <w:p>
      <w:pPr>
        <w:pStyle w:val="Heading2"/>
      </w:pPr>
      <w:r>
        <w:t>Regeste</w:t>
      </w:r>
    </w:p>
    <w:p>
      <w:r>
        <w:t>Arbeitsvertrag, | Vertragsrecht</w:t>
      </w:r>
    </w:p>
    <w:p>
      <w:pPr>
        <w:pStyle w:val="Heading2"/>
      </w:pPr>
      <w:r>
        <w:t>Erwägungen</w:t>
      </w:r>
    </w:p>
    <w:p>
      <w:r>
        <w:rPr>
          <w:b/>
        </w:rPr>
        <w:t>E. 1</w:t>
      </w:r>
    </w:p>
    <w:p>
      <w:r>
        <w:t>Mit Entscheid vom 10. Dezember 2020 wies das Arbeitsgericht des Kantons Wallis eine vom Beschwerdeführer gegen seine ehemalige Arbeitgeberin (Beschwerdegegnerin) erhobene Klage auf Zahlung einer Entschädigung in der Höhe von Fr. 4'000.-- ab. Mit Urteil vom 20. Mai 2022 wies das Kantonsgericht Wallis eine vom Beschwerdeführer gegen den arbeitsgerichtlichen Entscheid vom 10. Dezember 2020 erhobene Beschwerde ab, soweit es darauf eintrat. Mit Eingabe vom 19. Juni 2022 erklärte der Beschwerdeführer dem Bundesgericht, den Entscheid des Kantonsgerichts Wallis vom 20. Mai 2022 mit Beschwerde anfechten zu wollen.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3</w:t>
      </w:r>
    </w:p>
    <w:p>
      <w:r>
        <w:t>Die Eingabe des Beschwerdeführers vom 19. Juni 2022 erfüllt die genannten Begründungsanforderungen offensichtlich nicht. Er zeigt nicht unter Bezugnahme auf die Erwägungen des angefochtenen Entscheids des Kantonsgerichts Wallis vom 20. Mai 2022 auf, inwiefern der Vorinstanz eine Verletzung verfassungsmässiger Rechte vorzuwerfen wäre. Vielmehr unterbreitet er dem Bundesgericht in frei gehaltenen Ausführungen unter Berufung auf verschiedene Beilagen seine Sicht der Dinge und weicht dabei vom vorinstanzlich verbindlich festgestellten Sachverhalt ab, ohne rechtsgenügend zu begründen, inwiefern dies nach Art. 118 Abs. 2 BGG zulässig sein soll. Er erwähnt zwar zahlreiche Bestimmungen der Bundesverfassung sowie der EMRK und bezeichnet den angefochtenen Entscheid verschiedentlich als willkürlich, zeigt jedoch nicht hinreichend auf, inwiefern die Vorinstanz das Willkürverbot ( Art. 9 BV ) oder die weiteren in der Beschwerde genannten Verfassungsbestimmungen verletzt haben soll. Auf die Beschwerde ist somit mangels hinreichender Begründung nicht einzutreten ( Art. 108 Abs. 1 lit. b BGG ).</w:t>
      </w:r>
    </w:p>
    <w:p>
      <w:r>
        <w:rPr>
          <w:b/>
        </w:rPr>
        <w:t>E. 4</w:t>
      </w:r>
    </w:p>
    <w:p>
      <w:r>
        <w:t>Der Beschwerdeführer wird bei diesem Verfahrensausgang kostenpflichtig ( Art. 66 Abs. 1 BGG ).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