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4D_27/2023 vom 10. Mai 2023</w:t>
      </w:r>
    </w:p>
    <w:p>
      <w:r>
        <w:t>Bundesgericht, 2023-05-10, DE</w:t>
      </w:r>
    </w:p>
    <w:p>
      <w:r>
        <w:rPr>
          <w:b/>
        </w:rPr>
        <w:t xml:space="preserve">Quelle: </w:t>
      </w:r>
      <w:r>
        <w:t>https://mcp.opencaselaw.ch/entscheid/bger_4D_27_2023</w:t>
      </w:r>
    </w:p>
    <w:p>
      <w:r>
        <w:t>FR: TF 4D_27/2023 du 10 mai 2023</w:t>
      </w:r>
    </w:p>
    <w:p>
      <w:r>
        <w:t>IT: TF 4D_27/2023 del 10 maggio 2023</w:t>
      </w:r>
    </w:p>
    <w:p>
      <w:pPr>
        <w:pStyle w:val="Heading2"/>
      </w:pPr>
      <w:r>
        <w:t>Erwägungen</w:t>
      </w:r>
    </w:p>
    <w:p>
      <w:r>
        <w:rPr>
          <w:b/>
        </w:rPr>
        <w:t>E. 1</w:t>
      </w:r>
    </w:p>
    <w:p>
      <w:r>
        <w:t>Mit Urteil vom 22. September 2022 (Säumnisurteil) verpflichtete das Kantonsgericht Nidwalden den Beschwerdeführer, der Beschwerdegegnerin Fr. 23'500.-- nebst Zins zu bezahlen.</w:t>
      </w:r>
    </w:p>
    <w:p>
      <w:r>
        <w:t>Mit Eingabe vom 21. Oktober 2022 stellte der Beschwerdeführer beim Kantonsgericht ein Wiederherstellungsgesuch und verlangte sinngemäss die erneute Vorladung zur Hauptverhandlung. Mit Verfügung vom 7. November 2022 wies das Kantonsgericht das Wiederherstellungsgesuch ab.</w:t>
      </w:r>
    </w:p>
    <w:p>
      <w:r>
        <w:t>Mit Urteil vom 3. März 2023 trat das Obergericht des Kantons Nidwalden auf die vom Beschwerdeführer gegen die kantonsgerichtliche Verfügung vom 7. November 2022 erhobene Berufung nicht ein.</w:t>
      </w:r>
    </w:p>
    <w:p>
      <w:r>
        <w:t>Mit Eingabe vom 27. April 2023 erklärte der Beschwerdeführer dem Bundesgericht, den Entscheid des Obergerichts des Kantons Nidwalden vom 3. März 2023 mit Beschwerde anfechten zu wollen.</w:t>
      </w:r>
    </w:p>
    <w:p>
      <w:r>
        <w:t>Am 4. Mai 2023 reichte der Beschwerdeführer dem Bundesgericht eine weitere Eingabe samt Beilagen ein.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Beschwerdeführer vermag den im angefochtenen Entscheid zutreffend festgestellten Streitwert von Fr. 23'500.-- nicht mit dem Hinweis auf andere Verfahren in Frage zu stellen. 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Eingaben des Beschwerdeführers erfüllen die genannten Begründungsanforderungen offensichtlich nicht. Er zeigt nicht unter Bezugnahme auf die Erwägungen des angefochtenen Entscheids des Obergerichts des Kantons Nidwalden vom 3. März 2023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