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 27/2015 vom 14. April 2016</w:t>
      </w:r>
    </w:p>
    <w:p>
      <w:r>
        <w:t>Bundesgericht, 2016-04-14, IT</w:t>
      </w:r>
    </w:p>
    <w:p>
      <w:r>
        <w:rPr>
          <w:b/>
        </w:rPr>
        <w:t xml:space="preserve">Quelle: </w:t>
      </w:r>
      <w:r>
        <w:t>https://mcp.opencaselaw.ch/entscheid/bger_4D_27_2015</w:t>
      </w:r>
    </w:p>
    <w:p>
      <w:r>
        <w:t>FR: TF 4D 27/2015 du 14 avril 2016</w:t>
      </w:r>
    </w:p>
    <w:p>
      <w:r>
        <w:t>IT: TF 4D 27/2015 del 14 aprile 2016</w:t>
      </w:r>
    </w:p>
    <w:p>
      <w:pPr>
        <w:pStyle w:val="Heading2"/>
      </w:pPr>
      <w:r>
        <w:t>Regeste</w:t>
      </w:r>
    </w:p>
    <w:p>
      <w:r>
        <w:t>contratto di lavoro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 partire dal 1° febbraio 2009, B.________ è stato assunto dalla A.________Sagl in qualità d'istruttore fitness. Le parti hanno dapprima pattuito un salario orario lordo di fr. 23.-- per circa venti o trenta ore settimanali. A partire da aprile 2010, hanno pattuito un salario mensile lordo di fr. 4'500.-- per un'attività a tempo pieno, con l'aggiunta di fr. 60.-- l'ora per corsi di aerobica. B.________ ha dato le proprie dimissioni con effetto dal 31 agosto 2011. Con lettera 14 giugno 2011, A.________Sagl ha accettato le dimissioni e esonerato B.________ dal presentarsi sul posto di lavoro fino alla fine dell'impegno.</w:t>
      </w:r>
    </w:p>
    <w:p>
      <w:r>
        <w:rPr>
          <w:b/>
        </w:rPr>
        <w:t>E. 2</w:t>
      </w:r>
    </w:p>
    <w:p>
      <w:r>
        <w:t>B.________ ha fatto spiccare nei confronti di A.________Sagl un precetto esecutivo per l'incasso di fr. 25'000.--. La debitrice ha interposto opposizione. Con petizione 14 giugno 2012, B.________ ha citato A.________Sagl in giudizio dinanzi al Pretore del distretto di Bellinzona. Chiedeva la condanna della convenuta al versamento di fr. 25'000.-- con interessi al 5 % per anno dal 20 settembre 2011, come pure il rigetto definitivo dell'opposizione al precetto esecutivo. Quest'importo includeva fr. 15'030.-- relativi alle tre mensilità nette di giugno, luglio e agosto 2011. La convenuta ha riconosciuto la pretesa attorea limitatamente a fr. 1'446.-- con interessi dal 14 ottobre 2012. In via riconvenzionale ha chiesto la condanna dell'attore al versamento di fr. 18'695.85 con interessi dal 21 agosto 2012. Il Pretore aggiunto si è pronunciato il 9 gennaio 2014. Ha parzialmente accolto la petizione e ha condannato la convenuta a pagare fr. 12'213.15 con interessi al 5 % per anno dal 20 settembre 2011; limitatamente a queste pretese, ha rigettato in via definitiva l'opposizione al precetto esecutivo. Ha parzialmente accolto anche la domanda riconvenzionale e ha condannato l'attore a pagare fr. 2'236.75 con interessi dal 21 agosto 2012. La convenuta ha appellato dalla sentenza nel senso di accogliere la petizione limitatamente a fr. 1'446.-- e la domanda riconvenzionale limitatamente a fr. 7'087.95. La II Camera civile del Tribunale d'appello del Cantone Ticino ha respinto l'appello con sentenza del 27 febbraio 2015.</w:t>
      </w:r>
    </w:p>
    <w:p>
      <w:r>
        <w:rPr>
          <w:b/>
        </w:rPr>
        <w:t>E. 3</w:t>
      </w:r>
    </w:p>
    <w:p>
      <w:r>
        <w:t>La convenuta insorge dinanzi al Tribunale federale con un ricorso in materia costituzionale; chiede che la sentenza di secondo grado venga "annullata limitatamente alla petizione". Invoca la protezione dall'arbitrio conferita dall' art. 9 Cost. L'attore propone la reiezione del ricorso.</w:t>
      </w:r>
    </w:p>
    <w:p>
      <w:r>
        <w:rPr>
          <w:b/>
        </w:rPr>
        <w:t>E. 4</w:t>
      </w:r>
    </w:p>
    <w:p>
      <w:r>
        <w:t>Il ricorso al Tribunale federale - sia il ricorso in materia civile che il ricorso sussidiario in materia costituzionale - è un rimedio di natura riformativa ( art. 107 cpv. 2 LTF per il ricorso in materia civile, art. 117 e 107 cpv. 2 LTF per quello in materia costituzionale). La parte ricorrente deve pertanto formulare conclusioni che permettano al Tribunale federale di modificare la decisione impugnata. Conclusioni volte sia a accrescere, sia a ridurre la condanna di una parte al versamento di un importo di denaro devono essere tassativamente cifrate ( art. 42 cpv. 1 LTF ; DTF 134 III 235 consid. 2 pag. 236). Tale condizione è soddisfatta se le conclusioni, lette nell'ottica della motivazione e del rispetto del principio della buona fede, permettono una determinazione precisa dell'importo richiesto o ammesso, seppure questo non sia esposto in modo esplicito ( DTF 136 V 131 consid. 1.2 pag. 135). In sede pretorile e di appello, la convenuta ha sostenuto che le parti avevano pattuito di ritornare al loro contratto iniziale, prevedendo un salario orario lordo di fr. 23.-- per circa venti o trenta ore settimanali, a partire dal 1° giugno 2011. È accertato che l'attore ha presentato una proposta di modificazione del contratto, ma il Pretore e il Tribunale d'appello ritengono sulla scorta delle prove fornite che essa non è stata accettata dalla convenuta. Nella sede federale la ricorrente mantiene la sua argomentazione. Questa non consente al Tribunale federale di riconoscere di primo acchito e con sicurezza l'importo della pretesa attorea ammessa dalla convenuta. Il ricorso sussidiario in materia costituzionale ne risulta inammissibile a norma dell' art. 42 cpv. 1 LTF .</w:t>
      </w:r>
    </w:p>
    <w:p>
      <w:r>
        <w:rPr>
          <w:b/>
        </w:rPr>
        <w:t>E. 5</w:t>
      </w:r>
    </w:p>
    <w:p>
      <w:r>
        <w:t>Per giunta, una critica fondata sulla violazione dell' art. 9 Cost. non può esaurirsi in considerazioni che forniscono solo una diversa lettura delle prove addotte, ma necessita di una motivazione puntuale, da cui emerga in che misura i giudici cantonali non abbiano manifestamente compreso il senso e la portata di un mezzo di prova, abbiano omesso senza seria ragione di tenere conto di un mezzo di prova importante o abbiano proceduto a deduzioni insostenibili; la critica è altrimenti inammissibile a norma degli art. 106 cpv. 2 e 117 LTF ( DTF 140 III 264 consid. 2.3 pag. 266; 137 II 353 consid. 5.1 pag. 356). Nella presente causa l'argomentazione della convenuta non rispetta questi requisiti, il che pure comporta l'inammissibilità del ricorso.</w:t>
      </w:r>
    </w:p>
    <w:p>
      <w:r>
        <w:rPr>
          <w:b/>
        </w:rPr>
        <w:t>E. 6</w:t>
      </w:r>
    </w:p>
    <w:p>
      <w:r>
        <w:t>Le spese giudiziarie e le ripetibili della sede federale seguono la soccombenza (art. 66 cpv. 1 e art. 68 cpv. 1 e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