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4D_26/2025 vom 2. April 2025</w:t>
      </w:r>
    </w:p>
    <w:p>
      <w:r>
        <w:t>Bundesgericht, 2025-04-02, DE</w:t>
      </w:r>
    </w:p>
    <w:p>
      <w:r>
        <w:rPr>
          <w:b/>
        </w:rPr>
        <w:t xml:space="preserve">Quelle: </w:t>
      </w:r>
      <w:r>
        <w:t>https://mcp.opencaselaw.ch/entscheid/bger_4D_26_2025</w:t>
      </w:r>
    </w:p>
    <w:p>
      <w:r>
        <w:t>FR: TF 4D_26/2025 du 2 avril 2025</w:t>
      </w:r>
    </w:p>
    <w:p>
      <w:r>
        <w:t>IT: TF 4D_26/2025 del 2 aprile 2025</w:t>
      </w:r>
    </w:p>
    <w:p>
      <w:pPr>
        <w:pStyle w:val="Heading2"/>
      </w:pPr>
      <w:r>
        <w:t>Erwägungen</w:t>
      </w:r>
    </w:p>
    <w:p>
      <w:r>
        <w:rPr>
          <w:b/>
        </w:rPr>
        <w:t>E. 1</w:t>
      </w:r>
    </w:p>
    <w:p>
      <w:r>
        <w:t>Mit Entscheid vom 24. September 2024 hiess das Regionalgericht Berner Jura-Seeland das Rechtsöffnungsgesuch der Beschwerdegegner gut. Es erteilte ihnen in der Betreibung Nr. xxx des Betreibungsamts Seeland, Dienststelle Biel, die definitive Rechtsöffnung für Fr. 6'073.05 (Kantons- und Gemeindesteuern nebst 3% Zins seit 11. Juni 2024) und Fr. 504.80. Gegen diesen Entscheid erhob die Beschwerdeführerin Beschwerde an das Obergericht des Kantons Bern. Mit Entscheid vom 9. Januar 2025 kam das Obergericht zum Schluss, dass sich die Beschwerde als offensichtlich unzulässig erweise und trat darauf nicht ein.</w:t>
      </w:r>
    </w:p>
    <w:p>
      <w:r>
        <w:t>Dagegen erhebt die Beschwerdeführerin mit Eingabe vom 14. Februar 2025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2.2</w:t>
      </w:r>
    </w:p>
    <w:p>
      <w:r>
        <w:t>Die Beschwerdeführerin behauptet nicht, zumindest offensichtlich nicht hinreichend,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der Beschwerdeführerin erfüllt diese Begründungsanforderungen offensichtlich nicht. Sie nimmt darin wiederholt auf einen Softwarefehler Bezug, kritisiert die Behörden im Allgemeinen und schildert ihre Sicht der Dinge. Sie geht indessen auf die Erwägungen der Vorinstanz nicht hinreichend konkret ein, geschweige denn zeigt sie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Bei diesem Ausgang des Verfahrens sind die Gerichtskosten der Beschwerdeführerin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