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26/2023 vom 22. Mai 2023</w:t>
      </w:r>
    </w:p>
    <w:p>
      <w:r>
        <w:t>Bundesgericht, 2023-05-22, DE</w:t>
      </w:r>
    </w:p>
    <w:p>
      <w:r>
        <w:rPr>
          <w:b/>
        </w:rPr>
        <w:t xml:space="preserve">Quelle: </w:t>
      </w:r>
      <w:r>
        <w:t>https://mcp.opencaselaw.ch/entscheid/bger_4D_26_2023</w:t>
      </w:r>
    </w:p>
    <w:p>
      <w:r>
        <w:t>FR: TF 4D 26/2023 du 22 mai 2023</w:t>
      </w:r>
    </w:p>
    <w:p>
      <w:r>
        <w:t>IT: TF 4D 26/2023 del 22 maggio 2023</w:t>
      </w:r>
    </w:p>
    <w:p>
      <w:pPr>
        <w:pStyle w:val="Heading2"/>
      </w:pPr>
      <w:r>
        <w:t>Regeste</w:t>
      </w:r>
    </w:p>
    <w:p>
      <w:r>
        <w:t>Geschäftsführung ohne Auftrag, | Vertragsrecht</w:t>
      </w:r>
    </w:p>
    <w:p>
      <w:pPr>
        <w:pStyle w:val="Heading2"/>
      </w:pPr>
      <w:r>
        <w:t>Erwägungen</w:t>
      </w:r>
    </w:p>
    <w:p>
      <w:r>
        <w:rPr>
          <w:b/>
        </w:rPr>
        <w:t>E. 1</w:t>
      </w:r>
    </w:p>
    <w:p>
      <w:r>
        <w:t>Mit Urteil vom 16. Januar 2023 verpflichtete das Friedensrichteramt Uitikon den Beschwerdeführer, dem Beschwerdegegner Fr. 742.50 nebst 5 % Zins seit 9. März 2022 und Fr. 53.30 Betreibungskosten zu bezahlen. In diesem Umfang hob das Friedensrichteramt den Rechtsvorschlag in der Betreibung Nr. xxx des Betreibungsamts Birmensdorf Uitikon Aesch auf. Im Mehrbetrag wies das Friedensrichteramt die Klage ab. Mit Urteil vom 23. März 2023 wies das Obergericht des Kantons Zürich die vom Beschwerdeführer gegen das Urteil des Friedensrichteramts vom 16. Januar 2023 erhobene Beschwerde ab. Mit Eingabe vom 21. April 2023 erklärte der Beschwerdeführer dem Bundesgericht, den Entscheid des Obergerichts des Kantons Zürich vom 23. März 2023 mit Beschwerde anfechten zu wollen. Mit Verfügung vom 27. April 2023 wurde das Gesuch des Beschwerdeführers um Erteilung der aufschiebenden Wirkung abgewiesen. Am 15. Mai 2023 reichte der Beschwerdeführer dem Bundesgericht eine weitere Eingabe ein.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2.4</w:t>
      </w:r>
    </w:p>
    <w:p>
      <w:r>
        <w:t>Die Eingaben des Beschwerdeführers erfüllen die genannten Begründungsanforderungen offensichtlich nicht. Er zeigt nicht unter Bezugnahme auf die Erwägungen des angefochtenen Entscheids des Obergerichts des Kantons Zürich vom 23. März 2023 auf, inwiefern die Vorinstanz mit ihrem Entscheid verfassungsmässige Rechte verletzt hätte, sondern unterbreitet dem Bundesgericht in unzulässiger Weise seine eigene Sicht der Dinge. Auf die Beschwerde ist somit mangels hinreichender Begründung nicht einzutreten ( Art. 108 Abs. 1 lit. b BGG ).</w:t>
      </w:r>
    </w:p>
    <w:p>
      <w:r>
        <w:rPr>
          <w:b/>
        </w:rPr>
        <w:t>E. 3</w:t>
      </w:r>
    </w:p>
    <w:p>
      <w:r>
        <w:t>Der Beschwerdeführer wird bei diesem Verfahrensausgang kostenpflichtig ( Art. 66 Abs. 1 BGG ). Der Beschwerdegegner hat keinen Anspruch auf eine Parteientschädigung, da ihm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