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4D_26/2020 vom 16. Juli 2020</w:t>
      </w:r>
    </w:p>
    <w:p>
      <w:r>
        <w:t>Bundesgericht, 2020-07-16, DE</w:t>
      </w:r>
    </w:p>
    <w:p>
      <w:r>
        <w:rPr>
          <w:b/>
        </w:rPr>
        <w:t xml:space="preserve">Quelle: </w:t>
      </w:r>
      <w:r>
        <w:t>https://mcp.opencaselaw.ch/entscheid/bger_4D_26_2020</w:t>
      </w:r>
    </w:p>
    <w:p>
      <w:r>
        <w:t>FR: TF 4D_26/2020 du 16 juillet 2020</w:t>
      </w:r>
    </w:p>
    <w:p>
      <w:r>
        <w:t>IT: TF 4D_26/2020 del 16 luglio 2020</w:t>
      </w:r>
    </w:p>
    <w:p>
      <w:pPr>
        <w:pStyle w:val="Heading2"/>
      </w:pPr>
      <w:r>
        <w:t>Erwägungen</w:t>
      </w:r>
    </w:p>
    <w:p>
      <w:r>
        <w:rPr>
          <w:b/>
        </w:rPr>
        <w:t>E. 1</w:t>
      </w:r>
    </w:p>
    <w:p>
      <w:r>
        <w:t>Nach der gerichtlich angeordneten Räumung der Wohnung des Beschwerdeführers erliess das Regierungsstatthalteramt Seeland am 22. Januar 2020 eine Schlussverfügung. Es verfügte darin, dass der Beschwerdeführer als ausgewiesene Partei der ausweisenden Partei die Kosten in der Höhe von Fr. 6'312.50 zu ersetzen und die ungedeckten Restkosten von Fr. 2'312.50 zu tragen hat.</w:t>
      </w:r>
    </w:p>
    <w:p>
      <w:r>
        <w:t>Gegen diese Verfügung erhob der Beschwerdeführer Beschwerde an das Obergericht des Kantons Bern. Er beantragte auch die Gewährung der unentgeltlichen Rechtspflege für das Beschwerdeverfahren. Das Obergericht erwog mit Entscheid vom 24. April 2020, die Beschwerde erweise sich als offensichtlich unzulässig und offensichtlich unbegründet. Dementsprechend wies das Obergericht die Beschwerde ab, soweit es darauf eintrat. Ebenso wies es das Gesuch um unentgeltliche Rechtspflege ab.</w:t>
      </w:r>
    </w:p>
    <w:p>
      <w:r>
        <w:t>Dagegen erhob der Beschwerdeführer Beschwerde an das Bundesgericht.</w:t>
      </w:r>
    </w:p>
    <w:p>
      <w:r>
        <w:t>Auf das Einholen von Vernehmlassungen zur Beschwerde wurde verzichtet.</w:t>
      </w:r>
    </w:p>
    <w:p>
      <w:r>
        <w:rPr>
          <w:b/>
        </w:rPr>
        <w:t>E. 2</w:t>
      </w:r>
    </w:p>
    <w:p>
      <w:r>
        <w:t>Der Streitwert beträgt Fr. 8'625.-- und erreicht die Streitwertgrenze für eine Beschwerde in Zivilsachen gemäss Art. 74 Abs. 1 BGG nicht.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4.1</w:t>
      </w:r>
    </w:p>
    <w:p>
      <w:r>
        <w:t>Die Beschwerde an das Bundesgericht ist nur gegen Entscheide letzter kantonaler Instanzen zulässig ( Art. 75 Abs. 1, Art. 114 BGG ). Auf die Beschwerde ist daher von vornherein nicht einzutreten, soweit der Beschwerdeführer darin den Entscheid des Regierungsstatthalteramtes bzw. des Regionalgerichts kritisiert, da es sich dabei nicht um einen letztinstanzlichen Entscheide im Sinne von Art. 75 Abs. 1 BGG handelt.</w:t>
      </w:r>
    </w:p>
    <w:p>
      <w:r>
        <w:rPr>
          <w:b/>
        </w:rPr>
        <w:t>E. 4.2</w:t>
      </w:r>
    </w:p>
    <w:p>
      <w:r>
        <w:t>Auch im Übrigen erfüllt die Eingabe des Beschwerdeführers die genannten Begründungsanforderungen offensichtlich nicht. Er ruft darin zwar unter anderem die Bestimmungen von Art. 9 - 11 BV , Art. 30 Abs. 1 BV sowie Art. 6 EMKR an und wirft der Vorinstanz eine willkürliche Beweiswürdigung, Amtsmissbrauch und "Rechtsbeugung" vor. Er legt vor Bundesgericht aber bloss in frei gehaltenen Ausführungen seine Sicht der Dinge dar, dass es sich bei der zwangsweisen Räumung um eine unzulässige Exmission gehandelt habe und die Kostenauferlegung ein "vorsätzlicher Betrug" darstelle, ohne indessen auf die Erwägungen der Vorinstanz hinreichend konkret einzugehen, geschweige denn nachvollziehbar aufzuzeigen, inwiefern diese seine verfassungsmässigen Rechte verletzt haben soll.</w:t>
      </w:r>
    </w:p>
    <w:p>
      <w:r>
        <w:t>Auf die Beschwerde ist somit mangels hinreichender Begründung nicht einzutreten ( Art. 108 Abs. 1 lit. b BGG ).</w:t>
      </w:r>
    </w:p>
    <w:p>
      <w:r>
        <w:rPr>
          <w:b/>
        </w:rPr>
        <w:t>E. 5</w:t>
      </w:r>
    </w:p>
    <w:p>
      <w:r>
        <w:t>Bei diesem Ausgang des Verfahrens sind die Gerichtskosten dem Beschwerdeführer aufzuerlegen ( Art. 66 Abs. 1 BGG ).</w:t>
      </w:r>
    </w:p>
    <w:p>
      <w:r>
        <w:t>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