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4D_25/2025 vom 2. April 2025</w:t>
      </w:r>
    </w:p>
    <w:p>
      <w:r>
        <w:t>Bundesgericht, 2025-04-02, DE</w:t>
      </w:r>
    </w:p>
    <w:p>
      <w:r>
        <w:rPr>
          <w:b/>
        </w:rPr>
        <w:t xml:space="preserve">Quelle: </w:t>
      </w:r>
      <w:r>
        <w:t>https://mcp.opencaselaw.ch/entscheid/bger_4D_25_2025</w:t>
      </w:r>
    </w:p>
    <w:p>
      <w:r>
        <w:t>FR: TF 4D_25/2025 du 2 avril 2025</w:t>
      </w:r>
    </w:p>
    <w:p>
      <w:r>
        <w:t>IT: TF 4D_25/2025 del 2 aprile 2025</w:t>
      </w:r>
    </w:p>
    <w:p>
      <w:pPr>
        <w:pStyle w:val="Heading2"/>
      </w:pPr>
      <w:r>
        <w:t>Erwägungen</w:t>
      </w:r>
    </w:p>
    <w:p>
      <w:r>
        <w:rPr>
          <w:b/>
        </w:rPr>
        <w:t>E. 1</w:t>
      </w:r>
    </w:p>
    <w:p>
      <w:r>
        <w:t>Mit Urteil vom 20. Juni 2024 erteilte das Einzelgericht Audienz am Bezirksgericht Zürich dem Beschwerdegegner in der Betreibung Nr. xxx des Betreibungsamts U.________ (Zahlungsbefehl vom 13. Dezember 2023) für Fr. 1'560.-- nebst Zins zu 4% seit 25. Oktober 2023 und Fr. 76.90 die definitive Rechtsöffnung. Im Mehrumfang wies es das Gesuch ab. Dagegen erhob die Beschwerdeführerin Beschwerde an das Obergericht des Kantons Zürich. Mit Urteil vom 10. Dezember 2024 hiess das Obergericht die Beschwerde bezüglich des Beginn des Verzugszinseslaufs teilweise gut und erteilte dem Beschwerdegegner definitive Rechtsöffnung für Fr. 1'560.-- nebst Zins seit dem 25. November 2023 und Fr. 76.90 und wies das Gesuch im Mehrbetrag ab. Im Übrigen wies es die Beschwerde ab, soweit es darauf eintrat.</w:t>
      </w:r>
    </w:p>
    <w:p>
      <w:r>
        <w:t>Dagegen reichte die Beschwerdeführerin mit Eingabe vom 12. Februar 2025 Beschwerde an das Bundesgericht ein. Mit Verfügung vom 17. Februar 2025 wurde das Gesuch der Beschwerdeführerin um Gewährung der aufschiebenden Wirkung abgewiesen. Am 7. und 10. März reichte die Beschwerdeführerin Beschwerdeergänzungen ein.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Fr. 1'560.-- und erreicht damit die Streitwertgrenze nicht.</w:t>
      </w:r>
    </w:p>
    <w:p>
      <w:r>
        <w:rPr>
          <w:b/>
        </w:rPr>
        <w:t>E. 2.2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t>Die Beschwerdeführerin behauptet nicht, zumindest offensichtlich nicht hinreichend,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4.1</w:t>
      </w:r>
    </w:p>
    <w:p>
      <w:r>
        <w:t>Auf die Rüge der Verletzung einfachen Bundesrechts, insbesondere auf die Rüge einer Verletzung verschiedenster ZPO-Bestimmungen, des SchKG oder des Verwaltungsrechtspflegegesetzes des Kantons Zürich, kann von vornherein nicht eingetreten werden, da es sich hierbei nicht um verfassungsmässige Rechte handelt (Erwägung 3.1).</w:t>
      </w:r>
    </w:p>
    <w:p>
      <w:r>
        <w:rPr>
          <w:b/>
        </w:rPr>
        <w:t>E. 4.2</w:t>
      </w:r>
    </w:p>
    <w:p>
      <w:r>
        <w:t>Auch im Übrigen erfüllen die Eingaben der Beschwerdeführerin die oben genannten Begründungsanforderungen offensichtlich nicht. Die Vorinstanz ging im angefochtenen Entscheid auf die diversen Vorbringen der Beschwerdeführerin ein. Sie hiess die Beschwerde in einem Nebenpunkt (Verzugszinsen) gut, widerlegte aber im Übrigen ausführlich und sorgfältig alle Vorbringen der Beschwerdeführerin. Dagegen macht die Beschwerdeführerin in ihrer gewohnten Art und Weise ausführliche theoretische Ausführungen zu verschiedensten Themen, rügt die Verletzung diverser Bestimmungen und stellt eine Vielzahl von Rechtsbegehren und verlangt darin unter anderem auch mehrfach, dass das angefochtene Urteil, das erstinstanzliche Urteil, der Zahlungsbefehl und die "Betreibung xxx" für nichtig zu erklären seien. Sie geht in ihren Eingaben indessen nicht hinreichend konkret auf die Erwägungen der Vorinstanz ein, geschweige denn zeigt sie nachvollziehbar auf, welche verfassungsmässigen Rechte die Vorinstanz mit ihrem Entscheid inwiefern verletzt haben soll.</w:t>
      </w:r>
    </w:p>
    <w:p>
      <w:r>
        <w:rPr>
          <w:b/>
        </w:rPr>
        <w:t>E. 4.3</w:t>
      </w:r>
    </w:p>
    <w:p>
      <w:r>
        <w:t>Auf die Beschwerde ist somit mangels hinreichender Begründung nicht einzutreten ( Art. 108 Abs. 1 lit. b BGG in Verbindung mit Art. 117 BGG ).</w:t>
      </w:r>
    </w:p>
    <w:p>
      <w:r>
        <w:rPr>
          <w:b/>
        </w:rPr>
        <w:t>E. 5</w:t>
      </w:r>
    </w:p>
    <w:p>
      <w:r>
        <w:t>Die Vorinstanz prüfte im angefochtenen Entscheid vorweg die von der Beschwerdegegnerin bestrittene Prozessfähigkeit der Beschwerdeführerin. Sie verneinte unter den gegebenen Umständen die Prozessunfähigkeit für das konkrete Verfahren. Dies schliesst nicht aus, dass die Prozessfähigkeit der Beschwerdeführerin, deren zahllose Eingaben an die kantonalen Instanzen und an das Bundesgericht querulatorische Züge aufweisen, indem sie unter anderem immer wieder dieselben aussichtslosen Argumente vorbringt (Nichtigkeit von Urteilen und anderen Prozesshandlungen, Urkundenfälschung, mangelhafte Zustellung, ungültige Vertretung usw.), in einer anderen Konstellation erneut geprüft werden könnte.</w:t>
      </w:r>
    </w:p>
    <w:p>
      <w:r>
        <w:rPr>
          <w:b/>
        </w:rPr>
        <w:t>E. 6</w:t>
      </w:r>
    </w:p>
    <w:p>
      <w:r>
        <w:t>Bei diesem Ausgang des Verfahrens sind die Gerichtskosten der Beschwerdeführerin aufzuerlegen ( Art. 66 Abs. 1 BGG ). Dem Beschwerdegegner ist keine Parteientschädigung zuzusprechen (Art. 68 Abs. 3 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