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4D_25/2019 vom 23. Mai 2019</w:t>
      </w:r>
    </w:p>
    <w:p>
      <w:r>
        <w:t>Bundesgericht, 2019-05-23, DE</w:t>
      </w:r>
    </w:p>
    <w:p>
      <w:r>
        <w:rPr>
          <w:b/>
        </w:rPr>
        <w:t xml:space="preserve">Quelle: </w:t>
      </w:r>
      <w:r>
        <w:t>https://mcp.opencaselaw.ch/entscheid/bger_4D_25_2019</w:t>
      </w:r>
    </w:p>
    <w:p>
      <w:r>
        <w:t>FR: TF 4D_25/2019 du 23 mai 2019</w:t>
      </w:r>
    </w:p>
    <w:p>
      <w:r>
        <w:t>IT: TF 4D_25/2019 del 23 maggio 2019</w:t>
      </w:r>
    </w:p>
    <w:p>
      <w:pPr>
        <w:pStyle w:val="Heading2"/>
      </w:pPr>
      <w:r>
        <w:t>Erwägungen</w:t>
      </w:r>
    </w:p>
    <w:p>
      <w:r>
        <w:rPr>
          <w:b/>
        </w:rPr>
        <w:t>E. 1</w:t>
      </w:r>
    </w:p>
    <w:p>
      <w:r>
        <w:t>Am 7. November 2017 gelangte der Beschwerdeführer an das Zivilkreisgericht Basel-Landschaft West. Er beantragte, der Beschwerdegegner sei zur Bezahlung eines Schadenersatzes für den Minderwert des gekauften Fahrzeuges von Fr. 7'650.65 nebst Zins von 5 % seit dem 15. August 2014 zu verpflichten. Mit Entscheid vom 14. Juni 2018 wies das Zivilkreisgericht die Klage ab.</w:t>
      </w:r>
    </w:p>
    <w:p>
      <w:r>
        <w:t>Dagegen erhob der Beschwerdeführer Beschwerde an das Kantonsgericht Basel-Landschaft. Das Kantonsgericht wies mit Entscheid vom 12. Februar 2019 die Beschwerde ab.</w:t>
      </w:r>
    </w:p>
    <w:p>
      <w:r>
        <w:t>Gegen den Entscheid des Kantonsgerichts erhob der Beschwerdeführer mit Eingabe vom 11. April 2019 Beschwerde an das Bundesgericht. Auf das Einholen von Vernehmlassungen zur Beschwerde wurde verzichtet.</w:t>
      </w:r>
    </w:p>
    <w:p>
      <w:r>
        <w:rPr>
          <w:b/>
        </w:rPr>
        <w:t>E. 2.1</w:t>
      </w:r>
    </w:p>
    <w:p>
      <w:r>
        <w:t>Das Bundesgericht prüft von Amtes wegen und mit freier Kognition, ob ein Rechtsmittel zulässig ist ( Art. 29 Abs. 1 BGG ; BGE 141 III 395 E. 2.1 mit Hinweisen).</w:t>
      </w:r>
    </w:p>
    <w:p>
      <w:r>
        <w:rPr>
          <w:b/>
        </w:rPr>
        <w:t>E. 2.2</w:t>
      </w:r>
    </w:p>
    <w:p>
      <w:r>
        <w:t>Die Beschwerde an das Bundesgericht ist nur gegen Entscheide letzter kantonaler Instanzen zulässig ( Art. 75 Abs. 1, Art. 114 BGG ). Auf die Beschwerde ist daher von vornherein nicht einzutreten, soweit sie sich gegen den Entscheid des Zivilkreisgerichts richtet, da es sich dabei nicht um einen letztinstanzlichen Entscheid handelt.</w:t>
      </w:r>
    </w:p>
    <w:p>
      <w:r>
        <w:rPr>
          <w:b/>
        </w:rPr>
        <w:t>E. 2.3</w:t>
      </w:r>
    </w:p>
    <w:p>
      <w:r>
        <w:t>In vermögensrechtlichen Angelegenheiten, wie hier eine vorliegt, ist die Beschwerde in Zivilsachen grundsätzlich nur zulässig, wenn der Streitwert mindestens Fr. 30'000.-- beträgt ( Art. 74 Abs. 1 lit. b BGG ). Der Streitwert beträgt nach der unbestrittenen Feststellung der Vorinstanz Fr. 7'650.65 und erreicht damit die Streitwertgrenze nicht.</w:t>
      </w:r>
    </w:p>
    <w:p>
      <w:r>
        <w:t>Erreicht der Streitwert den massgebenden Betrag wie in casu nicht, ist die Beschwerde in Zivilsachen dennoch zulässig, wenn sich eine Rechtsfrage von grundsätzlicher Bedeutung stellt ( Art. 74 Abs. 2 lit. a BGG ), was die beschwerdeführende Partei aufzuzeigen hat ( Art. 42 Abs. 2 Satz 2 BGG ; BGE 136 II 489 E. 2.6; 133 III 439 E. 2.2.2.1, 645 E. 2.4).</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nur die subsidiäre Verfassungsbeschwerde im Sinne der Art. 113-119 BGG offen.</w:t>
      </w:r>
    </w:p>
    <w:p>
      <w:r>
        <w:rPr>
          <w:b/>
        </w:rPr>
        <w:t>E. 3.1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w:t>
      </w:r>
    </w:p>
    <w:p>
      <w:r>
        <w:t>Der Beschwerdeführer rügt sinngemäss eine Verletzung der Ausstandsvorschriften durch den erst- und den zweitinstanzlichen Richter. Er begründet diesen Vorwurf jedoch offensichtlich nicht hinreichend, indem er bloss seine Sicht der Dinge bezüglich deren Parteimitgliedschaft und der Mandatsabgaben schildert sowie ohne weitere Begründung behauptet, dass der SVP-Richter ihm mit seinem "nichtschweizerischen Familiennamen" nicht wohlgesonnen sei. Im Übrigen legt der Beschwerdeführer auch nicht dar, dass er die beiden betreffenden Richter in Nachachtung von Art. 49 Abs. 1 ZPO bereits im kantonalen Verfahren abgelehnt hätte.</w:t>
      </w:r>
    </w:p>
    <w:p>
      <w:r>
        <w:rPr>
          <w:b/>
        </w:rPr>
        <w:t>E. 5</w:t>
      </w:r>
    </w:p>
    <w:p>
      <w:r>
        <w:t>Auch im Übrigen enthält die Eingabe vom 11. April 2019 keine hinreichend begründeten Verfassungsrügen. Vielmehr kritisiert der Beschwerdeführer darin bloss das Verfahren vor den kantonalen Instanzen, ohne indessen auf die ausführlichen Erwägungen der Vorinstanz hinreichend konkret einzugehen, geschweige denn nachvollziehbar aufzuzeigen, welche verfassungsmässigen Rechte die Vorinstanz mit ihrem Entscheid inwiefern verletzt haben soll.</w:t>
      </w:r>
    </w:p>
    <w:p>
      <w:r>
        <w:rPr>
          <w:b/>
        </w:rPr>
        <w:t>E. 6</w:t>
      </w:r>
    </w:p>
    <w:p>
      <w:r>
        <w:t>Auf die Beschwerde ist somit mangels hinreichender Begründung nicht einzutreten ( Art. 108 Abs. 1 lit. b BGG in Verbindung mit Art. 117 BGG ). Die Gerichtskosten sind dem Beschwerdeführer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