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4D_25/2010 vom 29. Juni 2010</w:t>
      </w:r>
    </w:p>
    <w:p>
      <w:r>
        <w:t>Bundesgericht, 2010-06-29, FR</w:t>
      </w:r>
    </w:p>
    <w:p>
      <w:r>
        <w:rPr>
          <w:b/>
        </w:rPr>
        <w:t xml:space="preserve">Quelle: </w:t>
      </w:r>
      <w:r>
        <w:t>https://mcp.opencaselaw.ch/entscheid/bger_4D_25_2010</w:t>
      </w:r>
    </w:p>
    <w:p>
      <w:r>
        <w:t>FR: TF 4D_25/2010 du 29 juin 2010</w:t>
      </w:r>
    </w:p>
    <w:p>
      <w:r>
        <w:t>IT: TF 4D_25/2010 del 29 giugno 2010</w:t>
      </w:r>
    </w:p>
    <w:p>
      <w:pPr>
        <w:pStyle w:val="Heading2"/>
      </w:pPr>
      <w:r>
        <w:t>Erwägungen</w:t>
      </w:r>
    </w:p>
    <w:p>
      <w:r>
        <w:rPr>
          <w:b/>
        </w:rPr>
        <w:t>E. 1</w:t>
      </w:r>
    </w:p>
    <w:p>
      <w:r>
        <w:t>Devant l'autorité précédente, le litige ne portait que sur une demande en capital de 18'205 fr.75, entièrement contestée (cf. art. 51 al. 1 let. a et al. 3 LTF ). La valeur litigieuse minimale requise par l' art. 74 al. 1 let. b LTF n'étant pas atteinte, le recours en matière civile n'est pas ouvert, étant observé que l'on ne se trouve dans aucun des cas de dispense prévus par l' art. 74 al. 2 LTF . C'est donc à juste titre que le recourant a interjeté un recours constitutionnel subsidiaire ( art. 113 LTF ).</w:t>
      </w:r>
    </w:p>
    <w:p>
      <w:r>
        <w:rPr>
          <w:b/>
        </w:rPr>
        <w:t>E. 1.1</w:t>
      </w:r>
    </w:p>
    <w:p>
      <w:r>
        <w:t>Interjeté par la partie qui a succombé dans ses conclusions en paiement et qui a un intérêt juridique à l'annulation ou à la modification de la décision ( art. 115 LTF ), le recours, déposé dans le délai ( art. 100 al. 1 et 117 LTF ) et dans la forme ( art. 42 LTF ) prévus par la loi, est en principe recevable, puisqu'il est dirigé contre une décision finale ( art. 117 et 90 LTF ) rendue par une autorité cantonale de dernière instance ( art. 113 LTF ).</w:t>
      </w:r>
    </w:p>
    <w:p>
      <w:r>
        <w:rPr>
          <w:b/>
        </w:rPr>
        <w:t>E. 1.2</w:t>
      </w:r>
    </w:p>
    <w:p>
      <w:r>
        <w:t>Le recours subsidiaire ne peut être interjeté que pour violation des droits constitutionnels ( art. 116 LTF ). La partie recourante doit indiquer quel droit constitutionnel aurait été violé et montrer, par une argumentation circonstanciée, en quoi consiste la violation ( ATF 134 I 83 consid. 3.2 p. 88; 134 II 244 consid. 2.2 p. 246). Le Tribunal fédéral ne peut examiner la violation d'un droit de rang constitutionnel ou un grief constitutionnel en relation avec l'application du droit cantonal que si le grief a été invoqué et suffisamment motivé dans l'acte de recours ( art. 106 al. 2 LTF applicable par le renvoi de l' art. 117 LTF ).</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le recourant doit invoquer avec précision ( art. 106 al. 2 LTF applicable par le renvoi de l' art. 117 LTF ). Aucun fait nouveau ou preuve nouvelle ne peut être présenté à moins de résulter de la décision attaquée ( art. 99 al. 1 LTF applicable par le renvoi de l' art. 117 LTF ).</w:t>
      </w:r>
    </w:p>
    <w:p>
      <w:r>
        <w:rPr>
          <w:b/>
        </w:rPr>
        <w:t>E. 1.3</w:t>
      </w:r>
    </w:p>
    <w:p>
      <w:r>
        <w:t>Le Tribunal fédéral ne peut aller au-delà des conclusions des parties ( art. 117 et 107 al. 1 LTF ). Toute conclusion nouvelle est irrecevable ( art. 117 et 99 al. 2 LTF ).</w:t>
      </w:r>
    </w:p>
    <w:p>
      <w:r>
        <w:rPr>
          <w:b/>
        </w:rPr>
        <w:t>E. 2.1</w:t>
      </w:r>
    </w:p>
    <w:p>
      <w:r>
        <w:t>En l'espèce, le recourant invoque exclusivement l'interdiction de l'arbitraire garantie par l' art. 9 Cst.</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car il faut encore que la décision apparaisse arbitraire dans son résultat ( ATF 135 V 2 consid. 1.3; 134 I 263 consid. 3.1 p. 265 s.).</w:t>
      </w:r>
    </w:p>
    <w:p>
      <w:r>
        <w:t>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La partie recourante qui invoque l'arbitraire doit montrer, par une argumentation circonstanciée, en quoi la décision attaquée est insoutenable ( art. 106 al. 2 LTF ; ATF 130 I 258 consid. 1.3 p. 262).</w:t>
      </w:r>
    </w:p>
    <w:p>
      <w:r>
        <w:rPr>
          <w:b/>
        </w:rPr>
        <w:t>E. 2.2</w:t>
      </w:r>
    </w:p>
    <w:p>
      <w:r>
        <w:t>Le recourant admet lui-même, dans son acte de recours, qu'il a connu tous les éléments utiles pour former sa demande contre l'intimée à réception du rapport d'expertise. Il ne remet pas en cause le fait d'avoir reçu ce rapport le 4 septembre 2006. Il expose de manière détaillée qu'il a adressé à sa partie adverse un avis des défauts, en bonne et due forme, par lettre du 5 octobre 2006, soit plus d'un mois après avoir connu le défaut allégué. Sous cet angle, on ne voit pas en quoi la cour cantonale aurait établi les faits de manière arbitraire.</w:t>
      </w:r>
    </w:p>
    <w:p>
      <w:r>
        <w:t>Sur cette base, dire si l'avis des défauts doit être qualifié de tardif est une question de droit, et non de fait.</w:t>
      </w:r>
    </w:p>
    <w:p>
      <w:r>
        <w:t>La cour cantonale a retenu que le recourant avait conclu avec son fournisseur un contrat de vente ( art. 184 al. 1 CO ). Dans un tel contrat, si des défauts se révèlent après la livraison - ce qui est le cas en l'espèce -, ils doivent être signalés immédiatement, faute de quoi la chose est tenue pour acceptée même avec ces défauts ( art. 201 al. 3 CO ). Que l'on doive admettre que l'intimée a fabriqué ces parquets spécialement sur commande et que le contrat conclu constituât un contrat d'entreprise ( art. 363 CO ), la situation n'en serait pas modifiée, puisque l' art. 370 al. 3 CO contient la même règle.</w:t>
      </w:r>
    </w:p>
    <w:p>
      <w:r>
        <w:t>Selon la jurisprudence fermement établie, un avis des défauts communiqué deux ou trois jours ouvrables après la découverte de ceux-ci respecte la condition d'immédiateté prévue par la loi ( ATF 98 II 191 consid. 4; 76 II 221 consid. 3); sont en revanche tardifs des avis transmis dix-sept ou vingt jours après la découverte des défauts ( ATF 118 II 142 consid. 3b p. 148; 107 II 172 consid. 1b p. 176 s.; sur l'ensemble de la question: arrêt 4C.205/2003 du 17 novembre 2003 consid. 3.2).</w:t>
      </w:r>
    </w:p>
    <w:p>
      <w:r>
        <w:t>En considérant qu'un avis des défauts donné plus d'un mois après la découverte de ceux-ci était tardif, la cour cantonale n'a nullement violé arbitrairement le droit fédéral. Sa décision est au contraire parfaitement en accord avec la jurisprudence.</w:t>
      </w:r>
    </w:p>
    <w:p>
      <w:r>
        <w:rPr>
          <w:b/>
        </w:rPr>
        <w:t>E. 3</w:t>
      </w:r>
    </w:p>
    <w:p>
      <w:r>
        <w:t>Le recourant fait valoir qu'il a donné un avis des défauts avant la lettre du 5 octobre 2006. La cour cantonale a retenu qu'il n'en avait pas apporté la preuve.</w:t>
      </w:r>
    </w:p>
    <w:p>
      <w:r>
        <w:t>Selon les explications du recourant, ce prétendu avis des défauts consisterait exclusivement dans l'envoi d'un extrait du rapport d'expertise.</w:t>
      </w:r>
    </w:p>
    <w:p>
      <w:r>
        <w:t>L'avis des défauts, qui n'est soumis à aucune exigence de forme particulière, doit cependant indiquer exactement quels sont les défauts découverts et exprimer l'idée que la prestation n'est pas conforme au contrat et que l'auteur de l'avis en tient pour responsable son cocontractant ( ATF 107 II 172 consid. 1a p. 175).</w:t>
      </w:r>
    </w:p>
    <w:p>
      <w:r>
        <w:t>L'envoi d'un avis d'expert en vue d'en prendre connaissance et de se déterminer à son propos n'exprimait en aucune façon la volonté du recourant de tenir l'intimée pour responsable, ce d'autant plus que le rapport n'exprimait pas la volonté du recourant. La cour cantonale n'a donc pas enfreint arbitrairement le droit fédéral en considérant que le simple envoi d'un extrait dudit rapport ne suffisait pas pour constituer un avis des défauts donné par le recourant à l'intimée.</w:t>
      </w:r>
    </w:p>
    <w:p>
      <w:r>
        <w:t>Quoiqu'il en soit, la cour cantonale a constaté que le recourant n'avait pas prouvé la date d'envoi de cet extrait du rapport. L'intimée a certes admis avoir reçu cet extrait, mais sans préciser de date. On ne peut donc pas dire que la cour cantonale ait apprécié les preuves de manière arbitraire en constatant que la date de cet envoi n'avait pas été établie. Le recourant n'évoque d'ailleurs aucun élément de preuve quant à la date de cet envoi. Il n'est donc pas prouvé que l'extrait ait été envoyé en temps utile, c'est-à-dire dans les deux ou trois jours ouvrables après la découverte des défauts. En vertu de la règle générale de l' art. 8 CC , il incombe à la partie qui invoque un défaut d'établir à quel moment elle en a eu connaissance, à qui, quand et comment elle l'a signalé ( ATF 118 II 142 consid. 3a p. 147; 107 II 172 consid. 1a p. 176). Dès lors, la cour cantonale n'a pas violé arbitrairement le droit fédéral en rejetant la demande pour le motif que le recourant n'est pas parvenu à démontrer qu'il avait donné un avis des défauts en temps utile.</w:t>
      </w:r>
    </w:p>
    <w:p>
      <w:r>
        <w:t>Le recours doit être rejeté.</w:t>
      </w:r>
    </w:p>
    <w:p>
      <w:r>
        <w:rPr>
          <w:b/>
        </w:rPr>
        <w:t>E. 4</w:t>
      </w:r>
    </w:p>
    <w:p>
      <w:r>
        <w:t>Les frais et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