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4D_252/2025 vom 13. April 2026</w:t>
      </w:r>
    </w:p>
    <w:p>
      <w:r>
        <w:t>Bundesgericht, 2026-04-13, FR</w:t>
      </w:r>
    </w:p>
    <w:p>
      <w:r>
        <w:rPr>
          <w:b/>
        </w:rPr>
        <w:t xml:space="preserve">Quelle: </w:t>
      </w:r>
      <w:r>
        <w:t>https://mcp.opencaselaw.ch/entscheid/bger_4D_252_2025</w:t>
      </w:r>
    </w:p>
    <w:p>
      <w:r>
        <w:t>FR: TF 4D_252/2025 du 13 avril 2026</w:t>
      </w:r>
    </w:p>
    <w:p>
      <w:r>
        <w:t>IT: TF 4D_252/2025 del 13 aprile 2026</w:t>
      </w:r>
    </w:p>
    <w:p>
      <w:pPr>
        <w:pStyle w:val="Heading2"/>
      </w:pPr>
      <w:r>
        <w:t>Erwägungen</w:t>
      </w:r>
    </w:p>
    <w:p>
      <w:r>
        <w:rPr>
          <w:b/>
        </w:rPr>
        <w:t>E. 1</w:t>
      </w:r>
    </w:p>
    <w:p>
      <w:r>
        <w:t>Par jugement du 29 août 2025, le Tribunal de première instance du canton de Genève a débouté B.________ (ci-après: le poursuivant ou l'intimé) de ses conclusions en mainlevée définitive, pour les postes 1, 2, 3, 4 et 7 du commandement de payer, de l'opposition qu'avait formée A.________ (ci-après: la poursuivie ou la recourante) au commandement de payer qui lui avait été notifié par l'Office cantonal des poursuites du canton de Genève à la requête du poursuivant dans la poursuite no xxx. Ledit commandement de payer porte sur les sommes de 125 fr. 05 (poste 1), 800 fr. (poste 2), 4'000 fr. (poste 3), 4'000 fr. (poste 4), 300 fr. (poste 5), 300 fr. (poste 6), 300 fr. (poste 7), 800 fr. (poste 8) et 1'500 fr. (poste 9), le tout avec intérêts.</w:t>
      </w:r>
    </w:p>
    <w:p>
      <w:r>
        <w:t>Par arrêt du 24 novembre 2025, la Chambre civile de la Cour de justice du canton de Genève a partiellement admis le recours déposé par le poursuivant et prononcé la mainlevée définitive de l'opposition pour les postes 2 et 3 du commandement de payer.</w:t>
      </w:r>
    </w:p>
    <w:p>
      <w:r>
        <w:rPr>
          <w:b/>
        </w:rPr>
        <w:t>E. 2</w:t>
      </w:r>
    </w:p>
    <w:p>
      <w:r>
        <w:t>Contre cet arrêt, la poursuivie a formé un "recours en matière civile" auprès du Tribunal fédéral le 30 décembre 2025. En substance, elle conclut, avec requête d'effet suspensif, à ce que l'arrêt attaqué soit annulé et réformé, en ce sens que la requête de mainlevée est rejetée et, subsidiairement, la cause est renvoyée à la cour cantonale pour nouvelle décision dans le sens des considérants. Elle sollicite en outre l'octroi de l'assistance judiciaire.</w:t>
      </w:r>
    </w:p>
    <w:p>
      <w:r>
        <w:t>Par ordonnance présidentielle du 6 janvier 2026, la requête d'effet suspensif formée par la recourante a été rejetée.</w:t>
      </w:r>
    </w:p>
    <w:p>
      <w:r>
        <w:t>L'intimé et la cour cantonale n'ont pas été invités à se déterminer sur le recours.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4A_10/2024, 4A_12/2024 du 26 mai 2025 consid. 5.1; 4A_243/2024 du 10 septembre 2024 consid. 4.1;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4A_10/2024, 4A_12/2024 précité consid. 5.1; 4A_243/2024 précité consid. 4.1; 4A_148/2022 précité consid. 4.1; 4A_245/2021 précité consid. 4.1; 4A_40/2021 précité consid. 3.2 et les arrêts cités).</w:t>
      </w:r>
    </w:p>
    <w:p>
      <w:r>
        <w:rPr>
          <w:b/>
        </w:rPr>
        <w:t>E. 4.2</w:t>
      </w:r>
    </w:p>
    <w:p>
      <w:r>
        <w:t>La cour cantonale a retenu que les postes 2 et 3 du commandement de payer se fondaient sur un arrêt qu'elle avait rendu le 27 mai 2024 et qui condamnait la poursuivie à verser les montants en poursuite au poursuivant à titre de remboursement d'avance de frais et de dépens. Elle a relevé que ledit arrêt ne portait certes pas mention de son caractère exécutoire ni de force jugée mais qu'il avait été rendu plus d'une année auparavant et que la poursuivie n'avait pas allégué, à teneur du procès-verbal d'audience devant le tribunal de première instance, avoir contesté cette décision. Elle a dès lors jugé que c'était à tort que le tribunal avait débouté le poursuivant de ses conclusions en mainlevée définitive pour ces deux postes.</w:t>
      </w:r>
    </w:p>
    <w:p>
      <w:r>
        <w:rPr>
          <w:b/>
        </w:rPr>
        <w:t>E. 4.3</w:t>
      </w:r>
    </w:p>
    <w:p>
      <w:r>
        <w:t>La recourante se fonde sur de nombreux faits qui n'ont pas été constatés par la cour cantonale. Dès lors qu'elle n'en sollicite pas valablement le complètement (cf.</w:t>
      </w:r>
    </w:p>
    <w:p>
      <w:r>
        <w:t>supra consid. 4.1.2), la Cour de céans ne saurait tenir compte de ces éléments.</w:t>
      </w:r>
    </w:p>
    <w:p>
      <w:r>
        <w:t>La recourante invoque comme "grief unique" une violation de l' art. 29 al. 1 Cst. En substance, elle reproche à la cour cantonale d'avoir refusé de suspendre la procédure alors qu'il y aurait une "action civile pendante avec demande de compensation", ce qui constitue selon elle un déni de justice matériel. Elle se réfère également à l' art. 126 CPC .</w:t>
      </w:r>
    </w:p>
    <w:p>
      <w:r>
        <w:t>À bien la comprendre, la recourante invoque, sous couvert de violation de l' art. 29 al. 1 Cst. , la violation de son droit d'être entendue ( art. 29 al. 2 Cst. ), dans la mesure où la cour cantonale n'aurait pas statué sur un grief de violation de l' art. 126 CPC ou sur une requête de suspension de la procédure fondée sur cette disposition. Dès lors que la recourante n'établit pas, par des renvois précis à ses écritures cantonales, qu'elle aurait valablement soulevé ce grief ou formé une telle requête devant la cour cantonale et que cela ne ressort pas clairement de l'arrêt attaqué, force est de constater que la critique de la recourante ne satisfait pas aux exigences de l'épuisement matériel des griefs (cf.</w:t>
      </w:r>
    </w:p>
    <w:p>
      <w:r>
        <w:t>supra consid. 4.1.3) et des art. 42 al. 2 et 106 al. 2 LTF. Pour le reste, la recourante ne formule pas de grief suffisamment motivé de violation de ses droits constitutionnels (cf.</w:t>
      </w:r>
    </w:p>
    <w:p>
      <w:r>
        <w:t>supra consid. 4.1.1). Sa critique et son recours sont, dès lors, irrecevables, ce qu'il y a lieu de constater par voie de procédure simplifiée ( art. 108 al. 1 let. b et art. 117 LTF ).</w:t>
      </w:r>
    </w:p>
    <w:p>
      <w:r>
        <w:rPr>
          <w:b/>
        </w:rPr>
        <w:t>E. 5</w:t>
      </w:r>
    </w:p>
    <w:p>
      <w:r>
        <w:t>Le recours étant voué à l'échec, l'une des conditions pour l'octroi de l'assistance judiciaire n'est pas remplie ( art. 64 al. 1 LTF ). Il convient dès lors de rejeter la demande d'assistance judiciaire de la recourante.</w:t>
      </w:r>
    </w:p>
    <w:p>
      <w:r>
        <w:t>Les frais judiciaires seront mis à la charge de la recourante, qui succombe ( art. 66 al. 1 LTF ). Dès lors que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