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4D_24/2018 vom 27. April 2018</w:t>
      </w:r>
    </w:p>
    <w:p>
      <w:r>
        <w:t>Bundesgericht, 2018-04-27, DE</w:t>
      </w:r>
    </w:p>
    <w:p>
      <w:r>
        <w:rPr>
          <w:b/>
        </w:rPr>
        <w:t xml:space="preserve">Quelle: </w:t>
      </w:r>
      <w:r>
        <w:t>https://mcp.opencaselaw.ch/entscheid/bger_4D_24_2018</w:t>
      </w:r>
    </w:p>
    <w:p>
      <w:r>
        <w:t>FR: TF 4D_24/2018 du 27 avril 2018</w:t>
      </w:r>
    </w:p>
    <w:p>
      <w:r>
        <w:t>IT: TF 4D_24/2018 del 27 aprile 2018</w:t>
      </w:r>
    </w:p>
    <w:p>
      <w:pPr>
        <w:pStyle w:val="Heading2"/>
      </w:pPr>
      <w:r>
        <w:t>Volltext</w:t>
      </w:r>
    </w:p>
    <w:p>
      <w:r>
        <w:t>Bundesgericht</w:t>
      </w:r>
    </w:p>
    <w:p>
      <w:r>
        <w:t>Tribunal fédéral</w:t>
      </w:r>
    </w:p>
    <w:p>
      <w:r>
        <w:t>Tribunale federale</w:t>
      </w:r>
    </w:p>
    <w:p>
      <w:r>
        <w:t>Tribunal federal</w:t>
      </w:r>
    </w:p>
    <w:p>
      <w:r>
        <w:t>4D_24/2018</w:t>
      </w:r>
    </w:p>
    <w:p>
      <w:r>
        <w:t>Urteil vom 27. April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Beschwerdegegnerin.</w:t>
      </w:r>
    </w:p>
    <w:p>
      <w:r>
        <w:t>Gegenstand</w:t>
      </w:r>
    </w:p>
    <w:p>
      <w:r>
        <w:t>Mieterausweisung,</w:t>
      </w:r>
    </w:p>
    <w:p>
      <w:r>
        <w:t>Beschwerde gegen den Entscheid des Obergerichts</w:t>
      </w:r>
    </w:p>
    <w:p>
      <w:r>
        <w:t>des Kantons Aargau, Zivilgericht, 4. Kammer,</w:t>
      </w:r>
    </w:p>
    <w:p>
      <w:r>
        <w:t>vom 1. März 2018 (ZSU.2018.41 (SZ.2017.203).</w:t>
      </w:r>
    </w:p>
    <w:p>
      <w:r>
        <w:t>In Erwägung,</w:t>
      </w:r>
    </w:p>
    <w:p>
      <w:r>
        <w:t>dass der Präsident des Bezirksgerichts Baden am 11. Januar 2018 feststellte, dass das Mietverhältnis zwischen den Parteien über den 50 m2-Büroraum im 1. OG rechts an der Strasse X.________ in U.________ seit 31. Oktober 2017 aufgelöst sei, und den Beschwerdeführer verpflichtete, das Mietobjekt spätestens innert 10 Tagen nach Zustellung des Entscheids zu räumen und zu verlassen sowie in vertragsgemässem Zustand inkl. sämtlicher Schlüssel zu übergeben, unter Androhung des polizeilichen Vollzugs im Unterlassungsfall auf Begehren der Beschwerdegegnerin;</w:t>
      </w:r>
    </w:p>
    <w:p>
      <w:r>
        <w:t>dass das Obergericht des Kantons Aargau eine vom Beschwerdeführer dagegen eingereichte Beschwerde mit Entscheid vom 1. März 2018 abwies;</w:t>
      </w:r>
    </w:p>
    <w:p>
      <w:r>
        <w:t>dass der Beschwerdeführer gegen diesen Entscheid mit Eingabe vom 13. April 2018 (Postaufgabe am 16. April 2018) beim Bundesgericht Beschwerde erhob;</w:t>
      </w:r>
    </w:p>
    <w:p>
      <w:r>
        <w:t>dass der Beschwerdeführer mit Eingabe vom 25. April 2018 (persönlich überbracht am 26. April 2018) das Gesuch stellte, es sei der Beschwerde, vorab superprovisorisch, die aufschiebende Wirkung zu erteilen;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13. April 2018 diesen Anforderungen offensichtlich nicht genügt, indem der Beschwerdeführer darin nicht unter hinreichender Bezugnahme auf die Erwägungen der Vorinstanz rechtsgenügend darlegt, welche Rechte diese mit dem darauf gestützten Entscheid inwiefern verletzt haben soll;</w:t>
      </w:r>
    </w:p>
    <w:p>
      <w:r>
        <w:t>dass der Beschwerdeführer insbesondere auch nicht hinreichend begründet, welche Rechte das Obergericht inwiefern verletzt haben soll, indem es seine Vorbringen über Fehler der Post bei der Zustellung der Kündigungsandrohung vom 17. August 2017 und der Kündigung vom 27. September 2017 als unzulässige neue Vorbringen qualifizierte;</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dass das Gesuch um Erteilung der aufschiebenden Wirkung mit dem Entscheid in der Sache selbst gegenstandslos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Aargau, Zivilgericht, 4. Kammer, schriftlich mitgeteilt.</w:t>
      </w:r>
    </w:p>
    <w:p>
      <w:r>
        <w:t>Lausanne, 27. April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