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4D_249/2025 vom 29. Dezember 2025</w:t>
      </w:r>
    </w:p>
    <w:p>
      <w:r>
        <w:t>Bundesgericht, 2025-12-29, DE</w:t>
      </w:r>
    </w:p>
    <w:p>
      <w:r>
        <w:rPr>
          <w:b/>
        </w:rPr>
        <w:t xml:space="preserve">Quelle: </w:t>
      </w:r>
      <w:r>
        <w:t>https://mcp.opencaselaw.ch/entscheid/bger_4D_249_2025</w:t>
      </w:r>
    </w:p>
    <w:p>
      <w:r>
        <w:t>FR: TF 4D_249/2025 du 29 décembre 2025</w:t>
      </w:r>
    </w:p>
    <w:p>
      <w:r>
        <w:t>IT: TF 4D_249/2025 del 29 dicembre 2025</w:t>
      </w:r>
    </w:p>
    <w:p>
      <w:pPr>
        <w:pStyle w:val="Heading2"/>
      </w:pPr>
      <w:r>
        <w:t>Erwägungen</w:t>
      </w:r>
    </w:p>
    <w:p>
      <w:r>
        <w:rPr>
          <w:b/>
        </w:rPr>
        <w:t>E. 1</w:t>
      </w:r>
    </w:p>
    <w:p>
      <w:r>
        <w:t>Mit Entscheid vom 10. Juni 2025 wies das Kreisgericht St. Gallen das Gesuch des Beschwerdeführers um Erlass von Gerichtskosten in der Höhe von Fr. 150.-- ab. Mit Entscheid vom 18. Dezember 2025 wies das Kantonsgericht St. Gallen eine vom Beschwerdeführer gegen den Entscheid des Kreisgerichts erhobene Beschwerde ab, soweit es darauf eintrat und verwies dabei auf die Begründung der Erstinstanz. Dagegen erhob der Beschwerdeführer mit Eingabe vom 28. Dezember 2025 Beschwerde an das Bundesgericht. Gleichzeitig ersucht er um Gewährung der unentgeltlichen Rechtspflege für das bundesgerichtliche Verfahren. Auf das Einholen von Vernehmlassungen zur Beschwerde wurde verzichtet.</w:t>
      </w:r>
    </w:p>
    <w:p>
      <w:r>
        <w:rPr>
          <w:b/>
        </w:rPr>
        <w:t>E. 2</w:t>
      </w:r>
    </w:p>
    <w:p>
      <w:r>
        <w:t>Die Eingabe des Beschwerdeführers beruht augenfällig auf querulatorischer und rechtsmissbräuchlicher Prozessführung und ist als solche unzulässig ( Art. 42 Abs. 7 BGG ). Auf die Beschwerde ist demnach im vereinfachten Verfahren durch den Abteilungspräsidenten nicht einzutreten ( Art. 108 Abs. 1 lit. c BGG ). Die Begründung des Entscheids beschränkt sich dabei auf eine kurze Angabe des Unzulässigkeitsgrundes ( Art. 108 Abs. 3 BGG ).</w:t>
      </w:r>
    </w:p>
    <w:p>
      <w:r>
        <w:rPr>
          <w:b/>
        </w:rPr>
        <w:t>E. 3</w:t>
      </w:r>
    </w:p>
    <w:p>
      <w:r>
        <w:t>Das Gesuch um Gewährung der unentgeltlichen Rechtspflege für das bundesgerichtliche Verfahren ist abzuweisen, weil die Beschwerde als von vornherein aussichtslos erscheint ( Art. 64 Abs. 1 BGG ). Darüber musste unter den gegebenen Umständen nicht vorgängig separat entschieden werden (vgl. Urteil 4A_20/2011 vom 11. April 2011 E. 7.2.2).</w:t>
      </w:r>
    </w:p>
    <w:p>
      <w:r>
        <w:rPr>
          <w:b/>
        </w:rPr>
        <w:t>E. 4</w:t>
      </w:r>
    </w:p>
    <w:p>
      <w:r>
        <w:t>Bei diesem Ausgang des Verfahrens sind die Gerichtskosten dem Beschwerdeführer aufzuerlegen ( Art. 66 Abs. 1 BGG ). Der Beschwerdegegner hat keinen Anspruch auf eine Parteientschädigung, da ihm mangels Einholung einer Vernehmlassung aus dem bundesgerichtlichen Verfahren kein entschädigungspflichtiger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