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4D_244/2025 vom 10. Februar 2026</w:t>
      </w:r>
    </w:p>
    <w:p>
      <w:r>
        <w:t>Bundesgericht, 2026-02-10, DE</w:t>
      </w:r>
    </w:p>
    <w:p>
      <w:r>
        <w:rPr>
          <w:b/>
        </w:rPr>
        <w:t xml:space="preserve">Quelle: </w:t>
      </w:r>
      <w:r>
        <w:t>https://mcp.opencaselaw.ch/entscheid/bger_4D_244_2025</w:t>
      </w:r>
    </w:p>
    <w:p>
      <w:r>
        <w:t>FR: TF 4D_244/2025 du 10 février 2026</w:t>
      </w:r>
    </w:p>
    <w:p>
      <w:r>
        <w:t>IT: TF 4D_244/2025 del 10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29. Oktober 2025 erteilte das Kantonsgericht Zug dem Beschwerdegegner definitive Rechtsöffnung für Fr. 17'716.85 nebst 4% Zins auf Fr. 17'000.-- seit 6. März 2025. Mit Verfügung vom 20. November 2025 trat das Obergericht des Kantons Zug auf die Beschwerde der Beschwerdeführerin gegen den Rechtsöffnungsentscheid des Kantonsgerichts nicht ein.</w:t>
      </w:r>
    </w:p>
    <w:p>
      <w:r>
        <w:t>Dagegen erhob die Beschwerdeführerin mit Eingabe vom 12. Dezember 2025 Beschwerde an das Bundesgericht.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Beschwerdeführerin wird bei diesem Verfahrensausgang kostenpflichtig ( Art. 66 Abs. 1 BGG ). 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