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4D_23/2024 vom 19. März 2024</w:t>
      </w:r>
    </w:p>
    <w:p>
      <w:r>
        <w:t>Bundesgericht, 2024-03-19, DE</w:t>
      </w:r>
    </w:p>
    <w:p>
      <w:r>
        <w:rPr>
          <w:b/>
        </w:rPr>
        <w:t xml:space="preserve">Quelle: </w:t>
      </w:r>
      <w:r>
        <w:t>https://mcp.opencaselaw.ch/entscheid/bger_4D_23_2024</w:t>
      </w:r>
    </w:p>
    <w:p>
      <w:r>
        <w:t>FR: TF 4D_23/2024 du 19 mars 2024</w:t>
      </w:r>
    </w:p>
    <w:p>
      <w:r>
        <w:t>IT: TF 4D_23/2024 del 19 marzo 2024</w:t>
      </w:r>
    </w:p>
    <w:p>
      <w:pPr>
        <w:pStyle w:val="Heading2"/>
      </w:pPr>
      <w:r>
        <w:t>Erwägungen</w:t>
      </w:r>
    </w:p>
    <w:p>
      <w:r>
        <w:rPr>
          <w:b/>
        </w:rPr>
        <w:t>E. 1.1</w:t>
      </w:r>
    </w:p>
    <w:p>
      <w:r>
        <w:t>Mit Urteil vom 2. November 2023 erteilte das Bezirksgericht Zürich der Beschwerdegegnerin in der Betreibung Nr. xxx des Betreibungsamts X.________ gegen die Beschwerdeführerin gestützt auf einen Beschluss des Bezirksgerichts Dielsdorf vom 12. Mai 2020 definitive Rechtsöffnung für eine Ordnungsbusse von Fr. 415.-- zzgl. Betreibungskosten.</w:t>
      </w:r>
    </w:p>
    <w:p>
      <w:r>
        <w:rPr>
          <w:b/>
        </w:rPr>
        <w:t>E. 1.2</w:t>
      </w:r>
    </w:p>
    <w:p>
      <w:r>
        <w:t>Mit Urteil vom 7. Dezember 2023 wies das Obergericht des Kantons Zürich eine von der Beschwerdeführerin gegen das Rechtsöffnungsurteil erhobene Beschwerde ab. Es erachtete die Beschwerde als offensichtlich unzulässig: Die Erstinstanz sei mangels behaupteter Erhebung einer Beschwerde mit aufschiebender Wirkung zu Recht von der Richtigkeit der Rechtskraftbescheinigung des Rechtsöffnungstitels ausgegangen. Die Erstinstanz habe zu Recht die Kritik der Beschwerdeführerin am Inhalt des zu vollstreckenden Beschlusses nicht berücksichtigt. Die Beschwerdeführerin habe auch nicht geltend gemacht, im erstinstanzlichen Verfahren eine Zahlung, Stundung oder Verjährung eingewendet zu haben. Ihre Behauptung, der Ausgang eines anderen hängigen Verfahrens habe Auswirkungen auf das vorliegende Verfahren, sei neu und könne im Beschwerdeverfahren nicht berücksichtigt werden.</w:t>
      </w:r>
    </w:p>
    <w:p>
      <w:r>
        <w:rPr>
          <w:b/>
        </w:rPr>
        <w:t>E. 1.3</w:t>
      </w:r>
    </w:p>
    <w:p>
      <w:r>
        <w:t>Mit Eingabe vom 12. Februar 2024 erklärte die Beschwerdeführerin dem Bundesgericht, das Urteil des Obergerichts des Kantons Zürich vom 7. Dezember 2023 mit subsidiärer Verfassungsbeschwerde anfechten zu wollen. Sie beantragte die Aufhebung des angefochtenen Urteils sowie die Feststellung, dass dem Beschwerdegegner nicht das Recht zustehe, eine Ordnungsbusse von Fr. 415.-- für den Kanton Zürich einzufordern.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Beschwerde an das Bundesgericht ist nur gegen Entscheide letzter kantonaler Instanzen zulässig (Art. 75 Abs. 1 i.V.m. Art. 114 BGG ). Auf die Beschwerde kann daher von vornherein nicht eingetreten werden, soweit sie sich unmittelbar gegen den Rechtsöffnungsentscheid des Bezirksgerichts Zürich vom 2. November 2023 richtet, da es sich dabei nicht um einen letztinstanzlichen Entscheid im Sinne von Art. 75 Abs. 1 BGG handelt.</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2.4.1</w:t>
      </w:r>
    </w:p>
    <w:p>
      <w:r>
        <w:t>Die Beschwerdeführerin unterbreitet "vollständigkeitshalber" eine eigene Darstellung des Sachverhalts und der Prozessgeschichte hinsichtlich des Verfahrens vor dem Bezirksgericht Dielsdorf. Sie wirft der Vorinstanz vor, diese relevanten Tatsachen nicht festgestellt und gewürdigt zu haben. Die Beschwerdeführerin verfehlt damit offensichtlich die Anforderungen an eine hinreichende Begründung (vgl. E. 2.3 oben). Sie zeigt weder präzise auf, inwiefern die Feststellungen der Vorinstanz unter Verletzung von verfassungsmässigen Rechten zustande gekommen sein sollen, noch, inwiefern diese für den Ausgang des Rechtsöffnungsverfahrens überhaupt entscheidend sein sollen.</w:t>
      </w:r>
    </w:p>
    <w:p>
      <w:r>
        <w:rPr>
          <w:b/>
        </w:rPr>
        <w:t>E. 2.4.2</w:t>
      </w:r>
    </w:p>
    <w:p>
      <w:r>
        <w:t>Die Beschwerdeführerin erfüllt auch die qualifizierte Rügepflicht hinsichtlich der Verletzung von verfassungsmässigen Rechten offensichtlich nicht (vgl. E. 2.1 oben). Sie moniert pauschal eine Verletzung von verschiedenen verfassungsmässigen Verfahrensgarantien, des Gleichheitsgebots sowie des Willkürverbots und wirft den mit der Sache betrauten Gerichtsinstanzen Selbstjustiz und verfassungswidriges Verhalten vor. Dabei lässt sie aber eine hinreichende Begründung gänzlich vermissen. Sie zeigt nicht unter Bezugnahme auf die Erwägungen des angefochtenen Entscheids auf, inwiefern die Vorinstanz mit ihrem Urteil verfassungsmässige Rechte verletzt hätte, sondern unterbreitet dem Bundesgericht in unzulässiger Weise ihre eigene Sicht der Dinge.</w:t>
      </w:r>
    </w:p>
    <w:p>
      <w:r>
        <w:rPr>
          <w:b/>
        </w:rPr>
        <w:t>E. 2.5</w:t>
      </w:r>
    </w:p>
    <w:p>
      <w:r>
        <w:t>Auf die Beschwerde ist somit im vereinfachten Verfahren gemäss Art. 108 Abs. 1 lit. b BGG in Verbindung mit Art. 117 BGG nicht einzutreten.</w:t>
      </w:r>
    </w:p>
    <w:p>
      <w:r>
        <w:rPr>
          <w:b/>
        </w:rPr>
        <w:t>E. 3</w:t>
      </w:r>
    </w:p>
    <w:p>
      <w:r>
        <w:t>Die Beschwerdeführerin wird bei diesem Verfahrensausgang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