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4D_233/2025 vom 11. Dezember 2025</w:t>
      </w:r>
    </w:p>
    <w:p>
      <w:r>
        <w:t>Bundesgericht, 2025-12-11, DE</w:t>
      </w:r>
    </w:p>
    <w:p>
      <w:r>
        <w:rPr>
          <w:b/>
        </w:rPr>
        <w:t xml:space="preserve">Quelle: </w:t>
      </w:r>
      <w:r>
        <w:t>https://mcp.opencaselaw.ch/entscheid/bger_4D_233_2025</w:t>
      </w:r>
    </w:p>
    <w:p>
      <w:r>
        <w:t>FR: TF 4D_233/2025 du 11 décembre 2025</w:t>
      </w:r>
    </w:p>
    <w:p>
      <w:r>
        <w:t>IT: TF 4D_233/2025 del 11 dicembre 2025</w:t>
      </w:r>
    </w:p>
    <w:p>
      <w:pPr>
        <w:pStyle w:val="Heading2"/>
      </w:pPr>
      <w:r>
        <w:t>Erwägungen</w:t>
      </w:r>
    </w:p>
    <w:p>
      <w:r>
        <w:rPr>
          <w:b/>
        </w:rPr>
        <w:t>E. 1</w:t>
      </w:r>
    </w:p>
    <w:p>
      <w:r>
        <w:t>Mit Urteil vom 22. April 2025 wies das Einzelgericht Audienz am Bezirksgericht Zürich das Gesuch der Beschwerdegegnerin um Erteilung der provisorischen Rechtsöffnung ab.</w:t>
      </w:r>
    </w:p>
    <w:p>
      <w:r>
        <w:t>Gegen dieses Urteil erhob die Beschwerdegegnerin am 30. April 2025 Beschwerde an das Obergericht des Kantons Zürich. Mit Beschluss vom 23. Oktober 2025 hob das Obergericht dieses Urteil auf und wies die Sache zur Fortsetzung des Verfahrens und zu neuer Entscheidung im Sinne seiner Erwägungen an das Bezirksgericht zurück.</w:t>
      </w:r>
    </w:p>
    <w:p>
      <w:r>
        <w:t>Dagegen erhob der Beschwerdeführer am 25. November 2025 Beschwerde an das Bundesgericht.</w:t>
      </w:r>
    </w:p>
    <w:p>
      <w:r>
        <w:rPr>
          <w:b/>
        </w:rPr>
        <w:t>E. 2</w:t>
      </w:r>
    </w:p>
    <w:p>
      <w:r>
        <w:t>Diese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Der Beschwerdeführer wird bei diesem Verfahrensausgang kostenpflichtig ( Art. 66 Abs. 1 BGG ).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