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4D_225/2025 vom 4. Dezember 2025</w:t>
      </w:r>
    </w:p>
    <w:p>
      <w:r>
        <w:t>Bundesgericht, 2025-12-04, DE</w:t>
      </w:r>
    </w:p>
    <w:p>
      <w:r>
        <w:rPr>
          <w:b/>
        </w:rPr>
        <w:t xml:space="preserve">Quelle: </w:t>
      </w:r>
      <w:r>
        <w:t>https://mcp.opencaselaw.ch/entscheid/bger_4D_225_2025</w:t>
      </w:r>
    </w:p>
    <w:p>
      <w:r>
        <w:t>FR: TF 4D_225/2025 du 4 décembre 2025</w:t>
      </w:r>
    </w:p>
    <w:p>
      <w:r>
        <w:t>IT: TF 4D_225/2025 del 4 dicembre 2025</w:t>
      </w:r>
    </w:p>
    <w:p>
      <w:pPr>
        <w:pStyle w:val="Heading2"/>
      </w:pPr>
      <w:r>
        <w:t>Erwägungen</w:t>
      </w:r>
    </w:p>
    <w:p>
      <w:r>
        <w:rPr>
          <w:b/>
        </w:rPr>
        <w:t>E. 1</w:t>
      </w:r>
    </w:p>
    <w:p>
      <w:r>
        <w:t>Mit Klage vom 22. Februar 2024 beantragte die Beschwerdeführerin beim Regionalgericht Oberland sinngemäss, die Beschwerdegegnerin sei zu verpflichten, ihr EUR 6'800.-- und Fr. 7'000.-- je zuzüglich Zins zu 5% seit dem 15. Juni 2020 sowie Schadenersatz in gerichtlich zu bestimmender Höhe, mindestens jedoch Fr. 1'000.--, zu bezahlen. Mit Entscheid vom 6. Januar 2025 wies das Regionalgericht Oberland diese Klage ab. Das Obergericht des Kantons Bern wies mit Entscheid vom 13. Oktober 2025 eine von der Beschwerdeführerin dagegen erhobene Berufung ab, soweit es darauf eintrat. Dagegen erhob die Beschwerdeführerin am 15. November 2025 Beschwerde an das Bundesgericht. Mit Präsidialverfügung vom 20. November 2025 wurde das sinngemässe Gesuch der Beschwerdeführerirn um Verzicht auf die Erhebung eines Kostenvorschusses abgewiesen.</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Die Beschwerdeführerin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