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4D_224/2025 vom 15. Dezember 2025</w:t>
      </w:r>
    </w:p>
    <w:p>
      <w:r>
        <w:t>Bundesgericht, 2025-12-15, DE</w:t>
      </w:r>
    </w:p>
    <w:p>
      <w:r>
        <w:rPr>
          <w:b/>
        </w:rPr>
        <w:t xml:space="preserve">Quelle: </w:t>
      </w:r>
      <w:r>
        <w:t>https://mcp.opencaselaw.ch/entscheid/bger_4D_224_2025</w:t>
      </w:r>
    </w:p>
    <w:p>
      <w:r>
        <w:t>FR: TF 4D_224/2025 du 15 décembre 2025</w:t>
      </w:r>
    </w:p>
    <w:p>
      <w:r>
        <w:t>IT: TF 4D_224/2025 del 15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21. Oktober 2025 wies das Appellationsgericht des Kantons Basel-Stadt die Beschwerde der Beschwerdeführerin gegen den Rechtsöffnungsentscheid des Zivilgerichts des Kantons Basel-Stadt vom 4. August 2025 ab.</w:t>
      </w:r>
    </w:p>
    <w:p>
      <w:r>
        <w:t>Dagegen erhob die Beschwerdeführerin am 14. November 2025 Beschwerde an das Bundesgericht. Sie reichte später drei Nachträge zu ihrem Rechtsmittel ein: Zwei datieren ebenfalls vom 14. November 2025, ein weiterer vom 27. November 2025.</w:t>
      </w:r>
    </w:p>
    <w:p>
      <w:r>
        <w:rPr>
          <w:b/>
        </w:rPr>
        <w:t>E. 2</w:t>
      </w:r>
    </w:p>
    <w:p>
      <w:r>
        <w:t>Diese Eingaben erfüllen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