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4D_21/2025 vom 17. April 2025</w:t>
      </w:r>
    </w:p>
    <w:p>
      <w:r>
        <w:t>Bundesgericht, 2025-04-17, DE</w:t>
      </w:r>
    </w:p>
    <w:p>
      <w:r>
        <w:rPr>
          <w:b/>
        </w:rPr>
        <w:t xml:space="preserve">Quelle: </w:t>
      </w:r>
      <w:r>
        <w:t>https://mcp.opencaselaw.ch/entscheid/bger_4D_21_2025</w:t>
      </w:r>
    </w:p>
    <w:p>
      <w:r>
        <w:t>FR: TF 4D_21/2025 du 17 avril 2025</w:t>
      </w:r>
    </w:p>
    <w:p>
      <w:r>
        <w:t>IT: TF 4D_21/2025 del 17 aprile 2025</w:t>
      </w:r>
    </w:p>
    <w:p>
      <w:pPr>
        <w:pStyle w:val="Heading2"/>
      </w:pPr>
      <w:r>
        <w:t>Erwägungen</w:t>
      </w:r>
    </w:p>
    <w:p>
      <w:r>
        <w:rPr>
          <w:b/>
        </w:rPr>
        <w:t>E. 1.1</w:t>
      </w:r>
    </w:p>
    <w:p>
      <w:r>
        <w:t>Mit Urteil vom 10. Juni 2024 erteilte das Bezirksgericht Dielsdorf der Beschwerdegegnerin in der Betreibung Nr. xxx des Betreibungsamts U.________ gegen die Beschwerdeführerin provisorische Rechtsöffnung für den Betrag von Fr. 300.-- zuzüglich Zins zu 12% seit dem 1. September 2023 und für den Betrag von Fr. 12'288.60 zuzüglich Zins zu 12% seit dem 11. September 2023.</w:t>
      </w:r>
    </w:p>
    <w:p>
      <w:r>
        <w:rPr>
          <w:b/>
        </w:rPr>
        <w:t>E. 1.2</w:t>
      </w:r>
    </w:p>
    <w:p>
      <w:r>
        <w:t>Mit Urteil vom 31. Dezember 2024 wies das Obergericht des Kantons Zürich die von der Beschwerdeführerin gegen das Urteil des Bezirksgerichts Dielsdorf vom 10. Juni 2024 erhobene Beschwerde ab.</w:t>
      </w:r>
    </w:p>
    <w:p>
      <w:r>
        <w:rPr>
          <w:b/>
        </w:rPr>
        <w:t>E. 1.3</w:t>
      </w:r>
    </w:p>
    <w:p>
      <w:r>
        <w:t>Mit Eingabe vom 26. Januar 2025 erklärte die Beschwerdeführerin dem Bundesgericht, Beschwerde gegen den Entscheid des Obergerichts Zürich vom 31. Dezember 2024 führen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Es ist auch nicht ersichtlich, inwiefern sich eine solche stellen könnte. Somit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Beschwerdegegnerin stützte ihr Rechtsöffnungsbegehren auf eine von der Beschwerdeführerin unterzeichnete Schuldanerkennung vom 17. August 2023. Die Erstinstanz erkannte darin einen provisorischen Rechtsöffnungstitel im Sinne von Art. 82 SchKG . Zur Einwendung der Beschwerdeführerin, es handle sich dabei um eine Fälschung, erwog die Vorinstanz, dass die Beschwerdeführerin unsubstanziierte Behauptungen und pauschale Wiederholungen vortrage, die keine Zweifel an der Richtigkeit der erstinstanzlichen Würdigung aufkommen lassen würden. Beim eingereichten Kurzbericht des Forensischen Instituts Zürich hinsichtlich der Frage, ob die Unterschrift auf der Schuldanerkennung von der Beschwerdeführerin stamme, handle es sich um ein Novum, das im Beschwerdeverfahren ausgeschlossen sei. Ohnehin könne sie aus diesem Bericht nichts zu ihren Gunsten ableiten, da er zum Ergebnis gelange, die schriftvergleichende Prüfung spreche nur "leicht" dafür, dass die Unterschrift von der Beschwerdeführerin stamme. Ebenfalls als unbeachtliches Novum qualifizierte die Vorinstanz die Behauptung der Beschwerdeführerin, ihr Partner sei im erstinstanzlichen Verfahren als finanzieller Garant hingestellt worden. Die Vorinstanz wies gestützt darauf die Beschwerde als offensichtlich unbegründet ab.</w:t>
      </w:r>
    </w:p>
    <w:p>
      <w:r>
        <w:rPr>
          <w:b/>
        </w:rPr>
        <w:t>E. 2.5</w:t>
      </w:r>
    </w:p>
    <w:p>
      <w:r>
        <w:t>Der subsidiären Verfassungsbeschwerde vor Bundesgericht kann somit nur Erfolg beschieden sein, wenn die Beschwerdeführerin hinreichend begründet, inwiefern die Vorinstanz durch die Erteilung der provisorischen Rechtsöffnung verfassungsmässige Rechte verletzt hätte. Dies gelingt ihr offensichtlich nicht. Sie wiederholt vor Bundesgericht einzig ihre eigene Sicht der Dinge, indem sie mit Verweis auf den Bericht des Forensischen Instituts Zürich daran festhält, die Schuldanerkennung sei gefälscht, unsubstanziiert der Beschwerdegegnerin unseriöse Geschäftspraktiken vorwirft und daraus ableitet, die Vorinstanz habe den Sachverhalt falsch gewürdigt sowie Mängel in der Beweisführung missachtet. Sie beruft sich zwar auf eine Verletzung ihres verfassungsmässigen Anspruchs auf rechtliches Gehör, auf " grundlegende Prinzipien des Rechtsstaates " und auf ihre " fundamentale Rechte ", unterlässt es indes, diese Rüge klar und detailliert anhand der Erwägungen des angefochtenen Urteils darzulegen. Auf die Beschwerde ist somit im vereinfachten Verfahren gemäss Art. 108 Abs. 1 lit. b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