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4D_21/2024 vom 27. Februar 2024</w:t>
      </w:r>
    </w:p>
    <w:p>
      <w:r>
        <w:t>Bundesgericht, 2024-02-27, FR</w:t>
      </w:r>
    </w:p>
    <w:p>
      <w:r>
        <w:rPr>
          <w:b/>
        </w:rPr>
        <w:t xml:space="preserve">Quelle: </w:t>
      </w:r>
      <w:r>
        <w:t>https://mcp.opencaselaw.ch/entscheid/bger_4D_21_2024</w:t>
      </w:r>
    </w:p>
    <w:p>
      <w:r>
        <w:t>FR: TF 4D_21/2024 du 27 février 2024</w:t>
      </w:r>
    </w:p>
    <w:p>
      <w:r>
        <w:t>IT: TF 4D_21/2024 del 27 febbraio 2024</w:t>
      </w:r>
    </w:p>
    <w:p>
      <w:pPr>
        <w:pStyle w:val="Heading2"/>
      </w:pPr>
      <w:r>
        <w:t>Erwägungen</w:t>
      </w:r>
    </w:p>
    <w:p>
      <w:r>
        <w:rPr>
          <w:b/>
        </w:rPr>
        <w:t>E. 1</w:t>
      </w:r>
    </w:p>
    <w:p>
      <w:r>
        <w:t>A.________ (ci-après: le poursuivant ou le recourant) a fait notifier à B.________ (ci-après: le poursuivi ou l'intimé) un commandement de payer la somme de 18'347 fr. 70, intérêts en sus, dans le cadre de la poursuite ordinaire no.... Le poursuivi a formé opposition totale audit commandement de payer.</w:t>
      </w:r>
    </w:p>
    <w:p>
      <w:r>
        <w:t>Par décision du 30 juin 2023, la Juge de paix du district de l'Ouest lausannois a déclaré irrecevable la requête de mainlevée déposée par le poursuivant.</w:t>
      </w:r>
    </w:p>
    <w:p>
      <w:r>
        <w:t>Par arrêt du 29 décembre 2023, la Cour des poursuites et faillites du Tribunal cantonal du canton de Vaud a déclaré irrecevable le recours formé par le poursuivant à l'encontre de ladite décision.</w:t>
      </w:r>
    </w:p>
    <w:p>
      <w:r>
        <w:rPr>
          <w:b/>
        </w:rPr>
        <w:t>E. 2</w:t>
      </w:r>
    </w:p>
    <w:p>
      <w:r>
        <w:t>Le 5 février 2024, le poursuivant a formé un recours auprès du Tribunal fédéral à l'encontre dudit arrêt. En substance, il conclut à ce que le poursuivi soit condamné à lui payer la somme de 18'347 fr. 70, intérêts en sus.</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La cour cantonale a considéré que l'acte de recours déposé le 14 juillet 2023 par le poursuivant était dépourvu de grief à l'endroit de la décision de première instance et que l'acte de recours du 7 novembre 2023 était tardif, de sorte que tous deux étaient irrecevables.</w:t>
      </w:r>
    </w:p>
    <w:p>
      <w:r>
        <w:rPr>
          <w:b/>
        </w:rPr>
        <w:t>E. 4.3</w:t>
      </w:r>
    </w:p>
    <w:p>
      <w:r>
        <w:t>En substance, le recourant soutient qu'il dispose d'un titre de mainlevée, soit une reconnaissance de dette, dans la mesure où le poursuivi se serait clairement engagé financièrement en signant une convention de sortie du bien loué au poursuivant et où la somme due serait aisément déterminable.</w:t>
      </w:r>
    </w:p>
    <w:p>
      <w:r>
        <w:rPr>
          <w:b/>
        </w:rPr>
        <w:t>E. 4.4</w:t>
      </w:r>
    </w:p>
    <w:p>
      <w:r>
        <w:t>Le recourant n'invoque pas, de manière suffisamment claire et circonstanciée, de violation de ses droits constitutionnels, de sorte que son recours est irrecevable, faute de motivation suffisante (cf.</w:t>
      </w:r>
    </w:p>
    <w:p>
      <w:r>
        <w:t>supra consid. 4.1), ce qu'il y a lieu de constater par voie de procédure simplifiée ( art. 108 al. 1 let. b et art. 117 LTF ). Le recours est également irrecevable en tant que le recourant n'établit pas que les recours qu'il avait formés auprès de la cour cantonale étaient recevables (cf. arrêt 4D_4/2024 du 21 février 2024 consid. 6.1 et les références citées).</w:t>
      </w:r>
    </w:p>
    <w:p>
      <w:r>
        <w:rPr>
          <w:b/>
        </w:rPr>
        <w:t>E. 5</w:t>
      </w:r>
    </w:p>
    <w:p>
      <w:r>
        <w:t>Les frais judiciaires seront mis à la charge du recourant, qui succombe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