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4D_21/2020 vom 15. Mai 2020</w:t>
      </w:r>
    </w:p>
    <w:p>
      <w:r>
        <w:t>Bundesgericht, 2020-05-15, FR</w:t>
      </w:r>
    </w:p>
    <w:p>
      <w:r>
        <w:rPr>
          <w:b/>
        </w:rPr>
        <w:t xml:space="preserve">Quelle: </w:t>
      </w:r>
      <w:r>
        <w:t>https://mcp.opencaselaw.ch/entscheid/bger_4D_21_2020</w:t>
      </w:r>
    </w:p>
    <w:p>
      <w:r>
        <w:t>FR: TF 4D_21/2020 du 15 mai 2020</w:t>
      </w:r>
    </w:p>
    <w:p>
      <w:r>
        <w:t>IT: TF 4D_21/2020 del 15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</w:t>
      </w:r>
    </w:p>
    <w:p>
      <w:r>
        <w:rPr>
          <w:b/>
        </w:rPr>
        <w:t>E. 2</w:t>
      </w:r>
    </w:p>
    <w:p>
      <w:r>
        <w:t>B.________,</w:t>
      </w:r>
    </w:p>
    <w:p>
      <w:r>
        <w:t>recourants,</w:t>
      </w:r>
    </w:p>
    <w:p>
      <w:r>
        <w:t>contre</w:t>
      </w:r>
    </w:p>
    <w:p>
      <w:r>
        <w:t>C.________ SA,</w:t>
      </w:r>
    </w:p>
    <w:p>
      <w:r>
        <w:t>intimée.</w:t>
      </w:r>
    </w:p>
    <w:p>
      <w:r>
        <w:t>Objet</w:t>
      </w:r>
    </w:p>
    <w:p>
      <w:r>
        <w:t>contrat de travail,</w:t>
      </w:r>
    </w:p>
    <w:p>
      <w:r>
        <w:t>recours contre l'arrêt rendu le 10 février 2020 par la Chambre des recours civile du Tribunal cantonal du canton de Vaud (CP19.045036-20018538).</w:t>
      </w:r>
    </w:p>
    <w:p>
      <w:r>
        <w:t>La Présidente:</w:t>
      </w:r>
    </w:p>
    <w:p>
      <w:r>
        <w:t>Vu la décision du 24 décembre 2019 par laquelle la Présidente du Tribunal civil de l'arrondissement de la Côte (ci-après: la Présidente) a jugé irrecevable la demande de A.________, au motif que celui-ci n'avait pas introduit préalablement de requête de conciliation;</w:t>
      </w:r>
    </w:p>
    <w:p>
      <w:r>
        <w:t>Vu la décision du 28 janvier 2020 par laquelle la Présidente a déclaré irrecevable la requête de B.________,</w:t>
      </w:r>
    </w:p>
    <w:p>
      <w:r>
        <w:t>Vu l'arrêt du 10 février 2020 par lequel la Chambre des recours civile du Tribunal cantonal du canton de Vaud a jugé irrecevable le recours interjeté par A.________, demandeur, contre la décision du 24 décembre 2019, faute de conclusions valables et de motivation suffisante;</w:t>
      </w:r>
    </w:p>
    <w:p>
      <w:r>
        <w:t>Vu le recours interjeté le 26 mars 2020 par A.________ et B.________ contre cet arrêt;</w:t>
      </w:r>
    </w:p>
    <w:p>
      <w:r>
        <w:t>Vu le dossier de la cause;</w:t>
      </w:r>
    </w:p>
    <w:p>
      <w:r>
        <w:t>Considérant qu'en vertu de l' art. 42 LTF , le mémoire de recours doit indiquer, notamment, les motifs, ceux-ci devant exposer succinctement en quoi la décision attaquée viole le droit, faute de quoi le Tribunal fédéral n'entre pas en matière ( art. 108 al. 1 let. b LTF ),</w:t>
      </w:r>
    </w:p>
    <w:p>
      <w:r>
        <w:t>que le présent recours ne satisfait manifestement pas à ces exigences, ce qui entraîne son irrecevabilité,</w:t>
      </w:r>
    </w:p>
    <w:p>
      <w:r>
        <w:t>qu'en effet, les recourants ne démontrent nullement en quoi la cour cantonale aurait violé le droit fédéral en déclarant le recours irrecevable,</w:t>
      </w:r>
    </w:p>
    <w:p>
      <w:r>
        <w:t>qu'à cet égard, le fait qu'ils se bornent à invoquer, pêle-mêle et de manière confuse, une série de dispositions conventionnelles, constitutionnelles et légales, n'y change rien, dès lors que cette argumentation, difficilement intelligible, manque à l'évidence sa cible et se révèle impropre à infirmer les deux motifs précis retenus par les juges cantonaux pour justifier leur décision de déclarer irrecevable le recours qui leur était soumis,</w:t>
      </w:r>
    </w:p>
    <w:p>
      <w:r>
        <w:t>qu'il y a lieu, partant, de faire application de la procédure simplifiée, conformément à l' art. 108 al. 1 LTF ;</w:t>
      </w:r>
    </w:p>
    <w:p>
      <w:r>
        <w:t>qu'à titre exceptionnel, les recourants peuvent être exonérés de l'émolument judiciaire,</w:t>
      </w:r>
    </w:p>
    <w:p>
      <w:r>
        <w:t>que l'intimée, n'ayant pas été invitée à déposer une réponse, n'a pas droit à des dépens,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