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 21/2007 vom 20. Juli 2007</w:t>
      </w:r>
    </w:p>
    <w:p>
      <w:r>
        <w:t>Bundesgericht, 2007-07-20, FR</w:t>
      </w:r>
    </w:p>
    <w:p>
      <w:r>
        <w:rPr>
          <w:b/>
        </w:rPr>
        <w:t xml:space="preserve">Quelle: </w:t>
      </w:r>
      <w:r>
        <w:t>https://mcp.opencaselaw.ch/entscheid/bger_4D_21_2007</w:t>
      </w:r>
    </w:p>
    <w:p>
      <w:r>
        <w:t>FR: TF 4D 21/2007 du 20 juillet 2007</w:t>
      </w:r>
    </w:p>
    <w:p>
      <w:r>
        <w:t>IT: TF 4D 21/2007 del 20 luglio 2007</w:t>
      </w:r>
    </w:p>
    <w:p>
      <w:pPr>
        <w:pStyle w:val="Heading2"/>
      </w:pPr>
      <w:r>
        <w:t>Regeste</w:t>
      </w:r>
    </w:p>
    <w:p>
      <w:r>
        <w:t>contrat de travail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jugement du 6 juin 2006, le Tribunal de prud'hommes de l'arrondissement de l'Est vaudois a condamné X.________ Sàrl à verser à Y.________, son ancien employé, la somme de 8'794 fr. 75, à titre de salaire net, conformément à l' art. 337c al. 1 CO , ainsi qu'une indemnité de 500 fr. en application de l' art. 337c al. 3 CO . Statuant par arrêt du 31 janvier 2007, sur recours de la défenderesse, la Chambre des recours du Tribunal cantonal vaudois a confirmé ce jugement.</w:t>
      </w:r>
    </w:p>
    <w:p>
      <w:r>
        <w:rPr>
          <w:b/>
        </w:rPr>
        <w:t>E. 1.2</w:t>
      </w:r>
    </w:p>
    <w:p>
      <w:r>
        <w:t>X.________ Sàrl a formé un recours constitutionnel subsidiaire contre cet arrêt en vue d'obtenir son annulation. L'intimé n'a pas été invité à déposer une réponse.</w:t>
      </w:r>
    </w:p>
    <w:p>
      <w:r>
        <w:rPr>
          <w:b/>
        </w:rPr>
        <w:t>E. 2.1</w:t>
      </w:r>
    </w:p>
    <w:p>
      <w:r>
        <w:t>Le recours est dirigé contre un jugement rendu en matière civile ( art. 72 al. 1 LTF ). La valeur litigieuse n'atteint pas le minimum de 15'000 fr. fixé par la loi pour les affaires en matière de droit du travail (art. 51 al. 1 let. a et 74 al. 1 let. a LTF) et la cause ne correspond à aucun des cas de dispense prévus par la loi ( art. 74 al. 2 LTF ). Partant, seule la voie du recours constitutionnel subsidiaire ( art. 113 ss LTF ) était ouverte à la recourante; c'est d'ailleurs cette voie que celle-ci a empruntée. Le recours est dirigé contre une décision finale ( art. 90 al. 1 LTF auquel renvoie l' art. 117 LTF ). La recourante a pris part à l'instance précédente et elle a succombé dans ses conclusions libératoires ( art. 115 LTF ). Déposé en temps utile ( art. 100 al. 1 LTF en liaison avec l' art. 117 LTF ) et dans les formes requises (art. 42 al. 1 à 3 LTF), le recours constitutionnel est en principe recevable. Il est vrai que la recourante n'a formulé qu'une conclusion cassatoire, alors qu'un tel recours, contrairement au recours de droit public ( art. 84 ss OJ ), n'est pas un recours en cassation mais un recours en réforme ( art. 107 al. 2 LTF par renvoi de l' art. 117 LTF ; Bernard Corboz, Introduction à la nouvelle loi sur le Tribunal fédéral, in SJ 2006 II p. 329 i.f./330 i.l.). Il ressort toutefois clairement de son mémoire qu'elle entend être libérée de toute condamnation pécuniaire à l'égard de l'intimé. Comprise dans ce sens, sa conclusion cassatoire ne s'oppose pas à l'entrée en matière sur le recours.</w:t>
      </w:r>
    </w:p>
    <w:p>
      <w:r>
        <w:rPr>
          <w:b/>
        </w:rPr>
        <w:t>E. 2.2</w:t>
      </w:r>
    </w:p>
    <w:p>
      <w:r>
        <w:t>Le recours constitutionnel ne peut être exercé que pour violation des droits constitutionnels ( art. 116 LTF ). Le Tribunal fédéral ne se saisit que des griefs soulevés et motivés par la partie recourante ( art. 106 al. 2 LTF en liaison avec l' art. 117 LTF ). Il doit statuer sur la base des faits constatés dans la décision attaquée; il ne peut rectifier ou compléter que les constatations de fait auxquelles l'autorité précédente est parvenue en violation des droits constitutionnels ( art. 118 LTF ).</w:t>
      </w:r>
    </w:p>
    <w:p>
      <w:r>
        <w:rPr>
          <w:b/>
        </w:rPr>
        <w:t>E. 3</w:t>
      </w:r>
    </w:p>
    <w:p>
      <w:r>
        <w:t>La recourante se plaint d'une violation de la garantie de la propriété ( art. 26 Cst. ). Toutefois, ce grief, dont ne discerne pas vraiment l'objet, n'a pas de portée propre en l'espèce, dès lors que l'intéressée le met elle-même en relation avec l'appréciation arbitraire des preuves qu'elle dénonce par ailleurs. Il n'y a donc pas lieu de l'examiner plus avant.</w:t>
      </w:r>
    </w:p>
    <w:p>
      <w:r>
        <w:rPr>
          <w:b/>
        </w:rPr>
        <w:t>E. 4</w:t>
      </w:r>
    </w:p>
    <w:p>
      <w:r>
        <w:t>Seul est litigieux, à ce stade de la procédure, le point de savoir si l'intimé a travaillé ou non pour le compte du dénommé A.________ à partir du 30 septembre 2004, soit avant la date de son licenciement par la recourante, intervenu le 15 octobre de la même année. Invoquant l' art. 9 Cst. , la recourante reproche aux précédents juges d'avoir interprété arbitrairement le témoignage de cette personne et d'avoir écarté sans raison celui du dénommé B.________.</w:t>
      </w:r>
    </w:p>
    <w:p>
      <w:r>
        <w:rPr>
          <w:b/>
        </w:rPr>
        <w:t>E. 4.1</w:t>
      </w:r>
    </w:p>
    <w:p>
      <w:r>
        <w:t>Dans l'appréciation des preuves et la constatation des faits, l'autorité viole cette disposition constitutionnelle lorsqu'elle ne prend pas en considération, sans aucune raison sérieuse, un élément de preuve propre à modifier la décision, lorsqu'elle se trompe manifestement sur son sens et sa portée, ou encore lorsque, sur la base des éléments recueillis, elle parvient à des constatations insoutenables ( ATF 129 I 8 consid. 2.1 p. 9). Au regard de l' art. 106 al. 2 LTF , lorsque la partie recourante se plaint de constatations ainsi invalides, elle ne peut pas se borner à contredire la décision attaquée par l'exposé de ses propres allégations et opinions; elle doit plutôt indiquer de façon précise en quoi cette décision est entachée d'un vice grave et indiscutable, et une argumentation qui ne satisfait pas à cette exigence est irrecevable (cf. ATF 130 I 258 consid. 1.3 p. 261/262; 125 I 492 consid. 1b p. 495).</w:t>
      </w:r>
    </w:p>
    <w:p>
      <w:r>
        <w:rPr>
          <w:b/>
        </w:rPr>
        <w:t>E. 4.2</w:t>
      </w:r>
    </w:p>
    <w:p>
      <w:r>
        <w:t>Au considérant III, let. f, de son son jugement (p. 5), le Tribunal de prud'hommes a exposé clairement les motifs pour lesquels la déposition du témoin A.________ ne suffisait pas à établir le fait litigieux. Il a, en outre, indiqué que les dires de B.________ ne suffisaient pas à conforter ce témoignage, étant donné qu'ils émanaient du propre frère de l'administrateur de la recourante. Dans l'arrêt attaqué, au considérant 3 (p. 4), la cour cantonale s'est ralliée à ces motifs et elle a réfuté les deux principaux arguments avancés par la recourante pour contester l'appréciation des premiers juges, à savoir, d'une part, l'absence de dénonciation pénale à l'encontre de A.________ et, d'autre part, le fait que le contrat liant cette personne à l'intimé pouvait fort bien avoir été conclu oralement et le salaire avoir été payé de la main à la main. A la lecture du mémoire de recours, on ne discerne aucun motif qui soit de nature à établir le caractère insoutenable de la constatation critiquée. Il y a lieu, partant, d'appliquer la procédure simplifiée et de renvoyer à la décision attaquée ( art. 109 al. 2 let. a et al. 3 LTF par renvoi de l' art. 117 LTF ).</w:t>
      </w:r>
    </w:p>
    <w:p>
      <w:r>
        <w:rPr>
          <w:b/>
        </w:rPr>
        <w:t>E. 5</w:t>
      </w:r>
    </w:p>
    <w:p>
      <w:r>
        <w:t>Cela étant, la recourante, qui succombe, devra payer un émolument judiciaire, en application de l' art. 66 al. 1 LTF , lequel émolument sera fixé conformément aux prescriptions de l' art. 65 al. 4 let . c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