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4D_216/2025 vom 26. November 2025</w:t>
      </w:r>
    </w:p>
    <w:p>
      <w:r>
        <w:t>Bundesgericht, 2025-11-26, DE</w:t>
      </w:r>
    </w:p>
    <w:p>
      <w:r>
        <w:rPr>
          <w:b/>
        </w:rPr>
        <w:t xml:space="preserve">Quelle: </w:t>
      </w:r>
      <w:r>
        <w:t>https://mcp.opencaselaw.ch/entscheid/bger_4D_216_2025</w:t>
      </w:r>
    </w:p>
    <w:p>
      <w:r>
        <w:t>FR: TF 4D_216/2025 du 26 novembre 2025</w:t>
      </w:r>
    </w:p>
    <w:p>
      <w:r>
        <w:t>IT: TF 4D_216/2025 del 26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5. August 2025 erteilte der Einzelrichter am Bezirksgericht Küssnacht dem Beschwerdegegner für den Betrag von Fr. 1'000.-- definitive Rechtsöffnung.</w:t>
      </w:r>
    </w:p>
    <w:p>
      <w:r>
        <w:t>Das Kantonsgericht Schwyz wies mit Beschluss vom 30. September 2025 eine von den Beschwerdeführern dagegen erhobene Beschwerde ab, soweit es darauf eintrat.</w:t>
      </w:r>
    </w:p>
    <w:p>
      <w:r>
        <w:rPr>
          <w:b/>
        </w:rPr>
        <w:t>E. 2</w:t>
      </w:r>
    </w:p>
    <w:p>
      <w:r>
        <w:t>Dagegen erheben die Beschwerdeführer subsidiäre Verfassungsbeschwerde an das Bundesgericht. Es wurden keine Vernehmlassungen eingeholt.</w:t>
      </w:r>
    </w:p>
    <w:p>
      <w:r>
        <w:t>Die Eingabe der Beschwerdeführer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den Beschwerdeführern 1 und 2 unter solidarischer Haftung aufzuerlegen ( Art. 66 Abs. 1 und Abs. 5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