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4D_20/2023 vom 8. Februar 2023</w:t>
      </w:r>
    </w:p>
    <w:p>
      <w:r>
        <w:t>Bundesgericht, 2023-02-08, DE</w:t>
      </w:r>
    </w:p>
    <w:p>
      <w:r>
        <w:rPr>
          <w:b/>
        </w:rPr>
        <w:t xml:space="preserve">Quelle: </w:t>
      </w:r>
      <w:r>
        <w:t>https://mcp.opencaselaw.ch/entscheid/bger_4D_20_2023</w:t>
      </w:r>
    </w:p>
    <w:p>
      <w:r>
        <w:t>FR: TF 4D_20/2023 du 8 février 2023</w:t>
      </w:r>
    </w:p>
    <w:p>
      <w:r>
        <w:t>IT: TF 4D_20/2023 del 8 febbraio 2023</w:t>
      </w:r>
    </w:p>
    <w:p>
      <w:pPr>
        <w:pStyle w:val="Heading2"/>
      </w:pPr>
      <w:r>
        <w:t>Erwägungen</w:t>
      </w:r>
    </w:p>
    <w:p>
      <w:r>
        <w:rPr>
          <w:b/>
        </w:rPr>
        <w:t>E. 1</w:t>
      </w:r>
    </w:p>
    <w:p>
      <w:r>
        <w:t>Mit Entscheid vom 8. Februar 2023 wies der Einzelrichter am Kantonsgericht Zug den Beschwerdeführer an, sämtliche Räumlichkeiten der von ihm bewohnten Wohnung an der U.________strasse in V.________, namentlich das Zimmer Nr. xxx im 1. Stock, bis spätestens 27. Februar 2023 zu räumen und der Beschwerdegegnerin unter Rückgabe sämtlicher Schlüssel zu übergeben.</w:t>
      </w:r>
    </w:p>
    <w:p>
      <w:r>
        <w:t>Mit Präsidialverfügung vom 8. März 2023 trat das Obergericht des Kantons Zug auf das vom Beschwerdeführer gegen verschiedene Oberrichter erhobene Ausstandsgesuch nicht ein und trat auf die Beschwerde gegen den einzelrichterlichen Entscheid vom 8. Februar 2023 infolge unzureichender Begründung der Rechtsmitteleingabe nicht ein.</w:t>
      </w:r>
    </w:p>
    <w:p>
      <w:r>
        <w:t>Mit Eingabe vom 27. März 2023 erklärte der Beschwerdeführer dem Bundesgericht, den Entscheid des Obergerichts des Kantons Zug vom 8. März 2023 mit Beschwerde anfechten zu wollen.</w:t>
      </w:r>
    </w:p>
    <w:p>
      <w:r>
        <w:t>Am 30. März 2023 reichte der Beschwerdeführer dem Bundesgericht eine weitere Eingabe ein.</w:t>
      </w:r>
    </w:p>
    <w:p>
      <w:r>
        <w:t>Mit Verfügung vom 31. März 2023 wurde das Gesuch des Beschwerdeführers um Erteilung der aufschiebenden Wirkung abgewiesen. Gleichzeitig wurde ihm mitgeteilt, dass seinem Gesuch um Erstre-ckung der Beschwerdefrist nicht entsprochen werden könne.</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1xxx-119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(BGE xxx5 III 232 E. 1.2; xxx4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xxx6 I 332 E. 2.2; xxx3 III 439 E. 3.2). Überdies muss die Behebung des Mangels für den Ausgang des Verfahrens entscheidend sein können (BGE xxx3 III 393 E. 7.1, 585 E. 4.1).</w:t>
      </w:r>
    </w:p>
    <w:p>
      <w:r>
        <w:t>Neue tatsächliche Vorbringen und Beweismittel sind grundsätzlich ausgeschlossen und neue Begehren unzulässig (Art. 99 i.V.m. Art. 117 BGG ).</w:t>
      </w:r>
    </w:p>
    <w:p>
      <w:r>
        <w:rPr>
          <w:b/>
        </w:rPr>
        <w:t>E. 2.4</w:t>
      </w:r>
    </w:p>
    <w:p>
      <w:r>
        <w:t>Die Eingaben des Beschwerdeführers vom 27. und 30. März 2023 erfüllen die genannten Begründungsanforderungen offensichtlich nicht. Er zeigt nicht unter Bezugnahme auf die Erwägungen des angefochtenen Entscheids des Obergerichts des Kantons Zug vom 8. März 2023 auf, inwiefern die Vorinstanz mit ihrem Nichteintretensentscheid verfassungsmässige Rechte verletzt hätte, sondern unterbreitet dem Bundesgericht in unzulässiger Weise seine eigene Sicht der Dinge.</w:t>
      </w:r>
    </w:p>
    <w:p>
      <w:r>
        <w:t>Auf die Beschwerde ist somit mangels hinreichender Begründung nicht einzutreten ( Art. 108 Abs. 1 lit. b BGG ).</w:t>
      </w:r>
    </w:p>
    <w:p>
      <w:r>
        <w:rPr>
          <w:b/>
        </w:rPr>
        <w:t>E. 3</w:t>
      </w:r>
    </w:p>
    <w:p>
      <w:r>
        <w:t>Der Beschwerdeführer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