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4D_20/2011 vom 18. Mai 2011</w:t>
      </w:r>
    </w:p>
    <w:p>
      <w:r>
        <w:t>Bundesgericht, 2011-05-18, FR</w:t>
      </w:r>
    </w:p>
    <w:p>
      <w:r>
        <w:rPr>
          <w:b/>
        </w:rPr>
        <w:t xml:space="preserve">Quelle: </w:t>
      </w:r>
      <w:r>
        <w:t>https://mcp.opencaselaw.ch/entscheid/bger_4D_20_2011</w:t>
      </w:r>
    </w:p>
    <w:p>
      <w:r>
        <w:t>FR: TF 4D_20/2011 du 18 mai 2011</w:t>
      </w:r>
    </w:p>
    <w:p>
      <w:r>
        <w:t>IT: TF 4D_20/2011 del 18 maggio 2011</w:t>
      </w:r>
    </w:p>
    <w:p>
      <w:pPr>
        <w:pStyle w:val="Heading2"/>
      </w:pPr>
      <w:r>
        <w:t>Erwägungen</w:t>
      </w:r>
    </w:p>
    <w:p>
      <w:r>
        <w:rPr>
          <w:b/>
        </w:rPr>
        <w:t>E. 1</w:t>
      </w:r>
    </w:p>
    <w:p>
      <w:r>
        <w:t>Selon la jurisprudence relative à l' art. 42 al. 1 LTF , le mémoire introductif du recours au Tribunal fédéral doit comporter des conclusions portant sur le sort de la cause, et la partie recourante n'est en principe pas recevable à réclamer seulement l'annulation de la décision attaquée. Un pareil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w:t>
      </w:r>
    </w:p>
    <w:p>
      <w:r>
        <w:t>On ne comprend guère pourquoi, en l'espèce, la recourante demande au Tribunal fédéral de constater la validité du congé mais pas de condamner la locataire et intimée à évacuer le local, et demande plutôt que la cause soit, à cette fin, renvoyée à la Chambre d'appel. La relation entre ses conclusions principales et subsidiaires est elle aussi inintelligible. Il n'existe toutefois aucun doute sur l'objet et l'enjeu de la contestation. Il convient donc d'interpréter les conclusions ainsi défectueuses en ce sens que le Tribunal fédéral est requis de condamner l'intimée à l'évacuation (cf. ATF 134 III 379 consid. 1.2 p. 382 concernant l'intitulé incorrect d'un recours).</w:t>
      </w:r>
    </w:p>
    <w:p>
      <w:r>
        <w:rPr>
          <w:b/>
        </w:rPr>
        <w:t>E. 2</w:t>
      </w:r>
    </w:p>
    <w:p>
      <w:r>
        <w:t>Dans une contestation concernant la validité d'une résiliation de bail, selon la jurisprudence pertinente pour l'application des art. 51 al. 1 let. a et 51 al. 2 LTF,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 art. 271a al. 1 let . e CO ( ATF 111 II 384 consid. 1 p. 386; voir aussi ATF 119 II 147 consid. 1 p. 149). En l'espèce, le loyer de trois années n'atteint pas la valeur litigieuse minimale que l' art. 74 al. 1 let. a LTF fixe à 15'000 fr. pour le recours ordinaire en matière civile, dans le domaine du droit du bail à loyer. En conséquence, la cause n'est susceptible que du recours constitutionnel subsidiaire ( art. 113 LTF ), à l'exclusion du recours ordinaire. Les conditions de recevabilité du recours constitutionnel sont par ailleurs satisfaites.</w:t>
      </w:r>
    </w:p>
    <w:p>
      <w:r>
        <w:t>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Il doit statuer sur la base des faits constatés dans la décision attaquée, si la partie recourante ne démontre pas que les constatations de fait soient elles-mêmes contraires à ses droits constitutionnels ( art. 118 LTF ; ATF 133 III 439 ibidem; voir aussi ATF 136 II 489 consid. 2.8 p. 494; 133 III 393 consid. 7.1 p. 398).</w:t>
      </w:r>
    </w:p>
    <w:p>
      <w:r>
        <w:rPr>
          <w:b/>
        </w:rPr>
        <w:t>E. 3</w:t>
      </w:r>
    </w:p>
    <w:p>
      <w:r>
        <w:t>Invoquant l' art. 9 Cst. , la recourante se plaint d'une constatation arbitraire des faits et d'une appréciation juridique arbitraire des faits constatés.</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137 I 1 consid. 2.4 p. 5; 136 III 552 consid. 4.2 p. 560; 135 V 2 consid. 1.3 p. 4/5).</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136 III 552 consid. 4.2 p. 560; 134 V 53 consid. 4.3 p. 62; 129 I 8 consid. 2.1).</w:t>
      </w:r>
    </w:p>
    <w:p>
      <w:r>
        <w:rPr>
          <w:b/>
        </w:rPr>
        <w:t>E. 4</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 art. 257d al. 2 CO dispose qu'à défaut de paiement dans le délai fixé, le bailleur peut résilier le contrat avec effet immédiat; les baux d'habitation ou de locaux commerciaux peuvent être résiliés avec un délai de congé minimum de trente jours pour la fin d'un mois.</w:t>
      </w:r>
    </w:p>
    <w:p>
      <w:r>
        <w:t>Le 14 octobre 2009, la recourante a adressé à l'intimée la sommation prévue par l' art. 257d al. 1 CO .</w:t>
      </w:r>
    </w:p>
    <w:p>
      <w:r>
        <w:t>Selon la Chambre d'appel, « une certaine confusion pouvait naître » à réception de cette sommation indiquant « rue B.________ 4 » et il « subsiste ainsi, à tout le moins, un doute quant à l'incidence de cette indication erronée sur la mise en demeure »; « parce que le droit du bail est un domaine emprunt de formalisme, ledit doute amène la Cour à considérer que l'avis comminatoire était affecté d'un vice, le rendant donc nul »; il s'ensuit que la résiliation du contrat n'est pas conforme aux exigences de l' art. 257d al. 1 CO .</w:t>
      </w:r>
    </w:p>
    <w:p>
      <w:r>
        <w:t>Le formalisme ainsi mentionné fait surtout référence, semble-t-il, aux art. 266l al. 2 et 266o CO selon lesquels la résiliation d'un bail d'habitation ou de locaux commerciaux doit être signifiée au moyen d'une formule agréée par le canton, sans quoi cette résiliation est nulle. Or, il est constant que cette prescription de forme a été observée pour la résiliation du 23 novembre 2009. Pour le surplus, la loi ne fixe pas d'exigences particulières pour le libellé des déclarations que le bailleur adresse au locataire. D'une manière générale, les déclarations par lesquelles une partie au contrat exerce un droit formateur doivent être univoques ( ATF 135 III 441 consid. 3.3 p. 444). En jurisprudence et en doctrine, il est aussi reconnu que la sommation signifiée en application de l' art. 257d al. 1 CO doit indiquer le montant impayé de façon suffisamment claire et précise (arrêt 4C.123/2000 du 14 juin 2000, consid. 3b, CdB 2000 p. 109; parmi d'autres auteurs: Pierre Wessner, in Droit du bail à loyer, 2010, n° 17 ad art. 257d CO ). Ces exigences se rapportent plutôt au contenu des déclarations, davantage qu'à leur forme.</w:t>
      </w:r>
    </w:p>
    <w:p>
      <w:r>
        <w:t>La Chambre d'appel n'a pas constaté que l'intimée ait omis de donner suite à la sommation parce que ses organes ou collaborateurs n'auraient pas compris quelle était la chose louée ni, par conséquent, quelle était la relation contractuelle concernée. Contrairement à ce qui est indiqué dans la décision attaquée, l'intimée n'a d'ailleurs rien allégué de semblable, ni en première instance ni en appel. Il n'existe donc aucun motif raisonnable de mettre en doute que la sommation fût dûment intelligible, aussi quant à la désignation du bail concerné, au regard du principe de la confiance qui régit l'interprétation des manifestations de volonté entre cocontractants (cf. ATF 135 III 410 consid. 3.2 p. 412; 133 III 675 consid. 3.3 p. 681). Dans ces conditions, la recourante est fondée à se plaindre d'une application arbitraire de l' art. 257d CO , ce qui entraîne l'admission du recours.</w:t>
      </w:r>
    </w:p>
    <w:p>
      <w:r>
        <w:t>Il n'est pas nécessaire d'examiner si la Chambre d'appel a pu constater sans arbitraire, au seul motif que la recourante n'a pas contesté l'allégué inséré dans le mémoire d'appel, que le local d'archives n'est pas accessible depuis l'entrée rue B.________ 4.</w:t>
      </w:r>
    </w:p>
    <w:p>
      <w:r>
        <w:rPr>
          <w:b/>
        </w:rPr>
        <w:t>E. 5</w:t>
      </w:r>
    </w:p>
    <w:p>
      <w:r>
        <w:t>A titre de partie qui succombe, l'intimée doit acquitter l'émolument à percevoir par le Tribunal fédéral et les dépens auxquels la recourante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