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4D_206/2025 vom 29. Oktober 2025</w:t>
      </w:r>
    </w:p>
    <w:p>
      <w:r>
        <w:t>Bundesgericht, 2025-10-29, DE</w:t>
      </w:r>
    </w:p>
    <w:p>
      <w:r>
        <w:rPr>
          <w:b/>
        </w:rPr>
        <w:t xml:space="preserve">Quelle: </w:t>
      </w:r>
      <w:r>
        <w:t>https://mcp.opencaselaw.ch/entscheid/bger_4D_206_2025</w:t>
      </w:r>
    </w:p>
    <w:p>
      <w:r>
        <w:t>FR: TF 4D_206/2025 du 29 octobre 2025</w:t>
      </w:r>
    </w:p>
    <w:p>
      <w:r>
        <w:t>IT: TF 4D_206/2025 del 29 ottobre 2025</w:t>
      </w:r>
    </w:p>
    <w:p>
      <w:pPr>
        <w:pStyle w:val="Heading2"/>
      </w:pPr>
      <w:r>
        <w:t>Erwägungen</w:t>
      </w:r>
    </w:p>
    <w:p>
      <w:r>
        <w:rPr>
          <w:b/>
        </w:rPr>
        <w:t>E. 1</w:t>
      </w:r>
    </w:p>
    <w:p>
      <w:r>
        <w:t>Da der Beschwerdeführer den Kostenvorschuss nicht leistete, trat das Obergericht des Kantons Bern mit Entscheid vom 26. August 2025 auf seine Beschwerde gegen die Erteilung definitiver Rechtsöffnung nicht ein. Dagegen erhebt der Beschwerdeführer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