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4D_204/2025 vom 18. Dezember 2025</w:t>
      </w:r>
    </w:p>
    <w:p>
      <w:r>
        <w:t>Bundesgericht, 2025-12-18, DE</w:t>
      </w:r>
    </w:p>
    <w:p>
      <w:r>
        <w:rPr>
          <w:b/>
        </w:rPr>
        <w:t xml:space="preserve">Quelle: </w:t>
      </w:r>
      <w:r>
        <w:t>https://mcp.opencaselaw.ch/entscheid/bger_4D_204_2025</w:t>
      </w:r>
    </w:p>
    <w:p>
      <w:r>
        <w:t>FR: TF 4D_204/2025 du 18 décembre 2025</w:t>
      </w:r>
    </w:p>
    <w:p>
      <w:r>
        <w:t>IT: TF 4D_204/2025 del 18 dicembre 2025</w:t>
      </w:r>
    </w:p>
    <w:p>
      <w:pPr>
        <w:pStyle w:val="Heading2"/>
      </w:pPr>
      <w:r>
        <w:t>Erwägungen</w:t>
      </w:r>
    </w:p>
    <w:p>
      <w:r>
        <w:rPr>
          <w:b/>
        </w:rPr>
        <w:t>E. 1</w:t>
      </w:r>
    </w:p>
    <w:p>
      <w:r>
        <w:t>Mit Verfügung vom 5. September 2025 setzte das Obergericht des Kantons Zürich der Beschwerdeführerin in Anwendung von Art. 101 Abs. 3 ZPO eine nicht erstreckbare Nachfrist von 5 Tagen ab Zustellung der Verfügung, um den ihr mit Verfügung vom 24. Juli 2025 auferlegten Kostenvorschuss von Fr. 300.-- zu leisten.</w:t>
      </w:r>
    </w:p>
    <w:p>
      <w:r>
        <w:t>Dagegen erhebt die Beschwerdeführerin mit Eingabe vom 17. Oktober 2025 Beschwerde beim Bundesgericht.</w:t>
      </w:r>
    </w:p>
    <w:p>
      <w:r>
        <w:t>Mit Verfügung vom 23. Oktober 2025 wies das Bundesgericht das Gesuch der Beschwerdeführerin um Gewährung der aufschiebenden Wirkung ab, da es nicht rechtsgenüglich begründet worden ist. Das Gesuch um Sistierung des bundesgerichtlichen Verfahrens wies das Bundesgericht ab, da die Beschwerdeführerin keinen hinreichenden Grund für eine Verfahrenssistierung genannt hat.</w:t>
      </w:r>
    </w:p>
    <w:p>
      <w:r>
        <w:t>Es wurden keine Vernehmlassungen eingeholt.</w:t>
      </w:r>
    </w:p>
    <w:p>
      <w:r>
        <w:rPr>
          <w:b/>
        </w:rPr>
        <w:t>E. 2</w:t>
      </w:r>
    </w:p>
    <w:p>
      <w:r>
        <w:t>Die Eingabe der Beschwerdeführerin erfüllt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durch den Abteilungspräsidenten nicht einzutreten ( Art. 108 Abs. 1 lit. b BGG ). Die Begründung des Entscheids beschränkt sich auf eine kurze Angabe des Unzulässigkeitsgrundes ( Art. 108 Abs. 3 BGG ).</w:t>
      </w:r>
    </w:p>
    <w:p>
      <w:r>
        <w:rPr>
          <w:b/>
        </w:rPr>
        <w:t>E. 3</w:t>
      </w:r>
    </w:p>
    <w:p>
      <w:r>
        <w:t>Bei diesem Ausgang des Verfahrens sind die Gerichtskosten der Beschwerdeführerin aufzuerlegen ( Art. 66 Abs. 1 BGG ). Der Beschwerdegegner hat keinen Anspruch auf eine Parteientschädigung, da ihm mangels Einholung einer Vernehmlassung aus dem bundesgerichtlichen Verfahren kein entschädigungspflichtiger Aufwand erwachsen ist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