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4D_19/2018 vom 23. August 2018</w:t>
      </w:r>
    </w:p>
    <w:p>
      <w:r>
        <w:t>Bundesgericht, 2018-08-23, DE</w:t>
      </w:r>
    </w:p>
    <w:p>
      <w:r>
        <w:rPr>
          <w:b/>
        </w:rPr>
        <w:t xml:space="preserve">Quelle: </w:t>
      </w:r>
      <w:r>
        <w:t>https://mcp.opencaselaw.ch/entscheid/bger_4D_19_2018</w:t>
      </w:r>
    </w:p>
    <w:p>
      <w:r>
        <w:t>FR: TF 4D_19/2018 du 23 août 2018</w:t>
      </w:r>
    </w:p>
    <w:p>
      <w:r>
        <w:t>IT: TF 4D_19/2018 del 23 agosto 2018</w:t>
      </w:r>
    </w:p>
    <w:p>
      <w:pPr>
        <w:pStyle w:val="Heading2"/>
      </w:pPr>
      <w:r>
        <w:t>Erwägungen</w:t>
      </w:r>
    </w:p>
    <w:p>
      <w:r>
        <w:rPr>
          <w:b/>
        </w:rPr>
        <w:t>E. 1</w:t>
      </w:r>
    </w:p>
    <w:p>
      <w:r>
        <w:t>Der angefochtene Beschluss des Kantonsgerichts ist ein Endentscheid ( Art. 90 BGG ) einer Vorinstanz im Sinne von Art. 75 BGG . Die Beschwerde in Zivilsachen ist aufgrund des Streitwertes von weniger als Fr. 15'000.-- ( Art. 74 Abs. 1 lit. a BGG ) nicht zulässig, weshalb die vom Beschwerdeführer erhobene subsidiäre Verfassungsbeschwerde im Sinne der Art. 113-119 BGG offen steht. Da auch die übrigen Sachurteilsvoraussetzungen erfüllt sind, ist auf die Beschwerde einzutreten, unter Vorbehalt zulässiger und hinlänglich begründeter Rügen (siehe Erwägung 2).</w:t>
      </w:r>
    </w:p>
    <w:p>
      <w:r>
        <w:rPr>
          <w:b/>
        </w:rPr>
        <w:t>E. 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Dass die vom Sachgericht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3.1</w:t>
      </w:r>
    </w:p>
    <w:p>
      <w:r>
        <w:t>Der Beschwerdeführer rügt, die Vorinstanz habe dem Ausweisungsbegehren im summarischen Verfahren um Rechtsschutz in klaren Fällen stattgegeben, obwohl die Voraussetzungen für diese Verfahrensart (unbestrittener oder sofort beweisbarer Sachverhalt und klare Rechtslage) nicht vorgelegen hätten. Die Anwendung der falschen Verfahrensart habe dazu geführt, dass sein Anspruch auf rechtliches Gehör verletzt worden sei.</w:t>
      </w:r>
    </w:p>
    <w:p>
      <w:r>
        <w:rPr>
          <w:b/>
        </w:rPr>
        <w:t>E. 3.2</w:t>
      </w:r>
    </w:p>
    <w:p>
      <w:r>
        <w:t>Soweit der Beschwerdeführer die Anwendung von Art. 257 Abs. 1 ZPO beanstandet, verkennt er, dass diese mit der Verfassungsbeschwerde nur unter dem Gesichtspunkt der Willkür gerügt werden kann (siehe Erwägung 2). Er begründet in der Beschwerde keine zulässige Willkürrüge. Alleine der Umfang der Erwägungen der Beschwerdeinstanz zur Qualifikation des Mietobjekts belegen nicht, dass es offensichtlich unhaltbar war, wenn die Vorinstanz das Vorliegen eines unbestrittenen oder sofort beweisbaren Sachverhalts und einer klaren Rechtslage bejahte. Im Übrigen hat die Vorinstanz ausdrücklich nicht darauf abgestellt, ob der Wohnwagen mit dem Boden fest verbunden war. Daher geht die Beschwerde an der Sache vorbei, wenn darin kritisiert wird, dem Beschwerdeführer sei insofern "eine Art strikter Beweis" auferlegt worden.</w:t>
      </w:r>
    </w:p>
    <w:p>
      <w:r>
        <w:rPr>
          <w:b/>
        </w:rPr>
        <w:t>E. 3.3</w:t>
      </w:r>
    </w:p>
    <w:p>
      <w:r>
        <w:t>Der Beschwerdeführer tut auch nicht dar, inwiefern die Äusserungsmöglichkeiten im summarischen Verfahren gemäss Art. 252-256 ZPO den verfassungsrechtlichen Mindestanforderungen des rechtlichen Gehörs nicht gerecht würden. Dass den Parteien im vereinfachten Verfahren gemäss Art. 243-247 ZPO "umfangreichere Mitwirkungsrechte" zustehen als im Verfahren um Rechtsschutz in klaren Fällen und das Gericht unter den Voraussetzungen von Art. 247 Abs. 2 lit. a in Verbindung mit Art. 243 Abs. 2 lit. c ZPO den Sachverhalt von Amtes wegen abklärt, bedeutet nicht, dass das Verfahren gemäss Art. 257 ZPO vor Art. 29 Abs. 2 BV nicht standhält (vgl. Urteil 4A_184/2015 vom 11. August 2015 E. 4.2.2, nicht publ. in: BGE 141 III 262 , mit weiteren Hinweisen).</w:t>
      </w:r>
    </w:p>
    <w:p>
      <w:r>
        <w:t>Zu beachten ist im Übrigen, dass der Gehörsanspruch der Parteien dem Gericht grundsätzlich nicht verbietet, auf die Abnahme beantragter Beweismittel zu verzichten, weil es auf Grund der bereits abgenommenen Beweise seine Überzeugung gebildet hat und ohne Willkür in vorweggenommener (antizipierter) Beweiswürdigung annehmen kann, dass seine Überzeugung durch weitere Beweiserhebungen nicht geändert würde ( BGE 141 I 60 E. 3.3 mit Hinweis). Dass die Vorinstanz relevante Äusserungen und Beweisanträge des Beschwerdeführers übergangen hätte, wird in der Beschwerde schliesslich nicht geltend gemacht.</w:t>
      </w:r>
    </w:p>
    <w:p>
      <w:r>
        <w:t>Eine Gehörsverletzung ist somit nicht gegeben.</w:t>
      </w:r>
    </w:p>
    <w:p>
      <w:r>
        <w:rPr>
          <w:b/>
        </w:rPr>
        <w:t>E. 4</w:t>
      </w:r>
    </w:p>
    <w:p>
      <w:r>
        <w:t>Die Beschwerde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